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8B96A" w14:textId="77777777" w:rsidR="0015517F" w:rsidRPr="007F5043" w:rsidRDefault="0015517F" w:rsidP="0015517F">
      <w:pPr>
        <w:pStyle w:val="Title"/>
        <w:jc w:val="center"/>
      </w:pPr>
    </w:p>
    <w:p w14:paraId="7BF4C7CB" w14:textId="240EEC0C" w:rsidR="0015517F" w:rsidRPr="007F5043" w:rsidRDefault="0015517F" w:rsidP="0015517F">
      <w:pPr>
        <w:pStyle w:val="Title"/>
        <w:jc w:val="center"/>
      </w:pPr>
    </w:p>
    <w:p w14:paraId="3CFFB555" w14:textId="5417A777" w:rsidR="005E612E" w:rsidRPr="007F5043" w:rsidRDefault="00152DBE" w:rsidP="00152DBE">
      <w:pPr>
        <w:jc w:val="center"/>
      </w:pPr>
      <w:r w:rsidRPr="007F5043">
        <w:rPr>
          <w:noProof/>
        </w:rPr>
        <w:drawing>
          <wp:inline distT="0" distB="0" distL="0" distR="0" wp14:anchorId="14F14C19" wp14:editId="6CB6136F">
            <wp:extent cx="1905000" cy="1905000"/>
            <wp:effectExtent l="0" t="0" r="0" b="0"/>
            <wp:docPr id="1" name="Picture 1" descr="LGITSA - Local Government Information Technology South Australia Careers  and Current Employee Profiles | Find referrals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ITSA - Local Government Information Technology South Australia Careers  and Current Employee Profiles | Find referrals | 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3C1F835E" w14:textId="77777777" w:rsidR="00152DBE" w:rsidRPr="007F5043" w:rsidRDefault="0073156A" w:rsidP="0015517F">
      <w:pPr>
        <w:pStyle w:val="Title"/>
        <w:jc w:val="center"/>
      </w:pPr>
      <w:r w:rsidRPr="007F5043">
        <w:t xml:space="preserve">Local Government </w:t>
      </w:r>
      <w:r w:rsidR="0015517F" w:rsidRPr="007F5043">
        <w:t xml:space="preserve">Information Technology South Australia </w:t>
      </w:r>
    </w:p>
    <w:p w14:paraId="26F64016" w14:textId="77777777" w:rsidR="00152DBE" w:rsidRPr="007F5043" w:rsidRDefault="00152DBE" w:rsidP="0015517F">
      <w:pPr>
        <w:pStyle w:val="Title"/>
        <w:jc w:val="center"/>
      </w:pPr>
    </w:p>
    <w:p w14:paraId="78490342" w14:textId="77777777" w:rsidR="00152DBE" w:rsidRPr="007F5043" w:rsidRDefault="00152DBE" w:rsidP="0015517F">
      <w:pPr>
        <w:pStyle w:val="Title"/>
        <w:jc w:val="center"/>
      </w:pPr>
    </w:p>
    <w:p w14:paraId="2C078E63" w14:textId="21D25F4D" w:rsidR="003E5B1F" w:rsidRPr="007F5043" w:rsidRDefault="00A12EE0" w:rsidP="0015517F">
      <w:pPr>
        <w:pStyle w:val="Title"/>
        <w:jc w:val="center"/>
      </w:pPr>
      <w:r>
        <w:t xml:space="preserve">Security Governance </w:t>
      </w:r>
      <w:r w:rsidR="00A05C97">
        <w:t>Policy</w:t>
      </w:r>
      <w:r w:rsidR="00FE0976">
        <w:t xml:space="preserve"> Template</w:t>
      </w:r>
    </w:p>
    <w:p w14:paraId="1B033F95" w14:textId="66AAF1DF" w:rsidR="00152DBE" w:rsidRPr="007F5043" w:rsidRDefault="00152DBE" w:rsidP="00152DBE"/>
    <w:p w14:paraId="470DE170" w14:textId="1C40609C" w:rsidR="00152DBE" w:rsidRPr="007F5043" w:rsidRDefault="00D06157" w:rsidP="00331F23">
      <w:pPr>
        <w:jc w:val="center"/>
        <w:rPr>
          <w:b/>
          <w:bCs/>
        </w:rPr>
      </w:pPr>
      <w:r>
        <w:rPr>
          <w:b/>
          <w:bCs/>
        </w:rPr>
        <w:t>v</w:t>
      </w:r>
      <w:r w:rsidR="00331F23" w:rsidRPr="007F5043">
        <w:rPr>
          <w:b/>
          <w:bCs/>
        </w:rPr>
        <w:t>0.</w:t>
      </w:r>
      <w:r w:rsidR="00A12EE0">
        <w:rPr>
          <w:b/>
          <w:bCs/>
        </w:rPr>
        <w:t>2</w:t>
      </w:r>
    </w:p>
    <w:p w14:paraId="14548B03" w14:textId="5B193D5B" w:rsidR="00901440" w:rsidRPr="007F5043" w:rsidRDefault="00901440" w:rsidP="00331F23">
      <w:pPr>
        <w:jc w:val="center"/>
        <w:rPr>
          <w:b/>
          <w:bCs/>
        </w:rPr>
      </w:pPr>
    </w:p>
    <w:p w14:paraId="1867DF5C" w14:textId="24129D78" w:rsidR="009C4251" w:rsidRPr="007F5043" w:rsidRDefault="00901440" w:rsidP="009325E4">
      <w:pPr>
        <w:rPr>
          <w:rFonts w:asciiTheme="majorHAnsi" w:eastAsiaTheme="majorEastAsia" w:hAnsiTheme="majorHAnsi" w:cstheme="majorBidi"/>
          <w:color w:val="2F5496" w:themeColor="accent1" w:themeShade="BF"/>
          <w:sz w:val="36"/>
          <w:szCs w:val="36"/>
        </w:rPr>
      </w:pPr>
      <w:r w:rsidRPr="007F5043">
        <w:br w:type="page"/>
      </w:r>
    </w:p>
    <w:p w14:paraId="78646094" w14:textId="4D3B6395" w:rsidR="009325E4" w:rsidRPr="007F5043" w:rsidRDefault="009325E4" w:rsidP="009325E4">
      <w:pPr>
        <w:pStyle w:val="Heading1"/>
      </w:pPr>
      <w:bookmarkStart w:id="0" w:name="_Toc101873618"/>
      <w:r w:rsidRPr="007F5043">
        <w:lastRenderedPageBreak/>
        <w:t>Table of Contents</w:t>
      </w:r>
      <w:bookmarkEnd w:id="0"/>
    </w:p>
    <w:sdt>
      <w:sdtPr>
        <w:id w:val="1713541554"/>
        <w:docPartObj>
          <w:docPartGallery w:val="Table of Contents"/>
          <w:docPartUnique/>
        </w:docPartObj>
      </w:sdtPr>
      <w:sdtEndPr>
        <w:rPr>
          <w:b/>
          <w:bCs/>
        </w:rPr>
      </w:sdtEndPr>
      <w:sdtContent>
        <w:p w14:paraId="20E1E75B" w14:textId="30589430" w:rsidR="00925A89" w:rsidRDefault="009C4251">
          <w:pPr>
            <w:pStyle w:val="TOC1"/>
            <w:tabs>
              <w:tab w:val="left" w:pos="440"/>
              <w:tab w:val="right" w:leader="dot" w:pos="9288"/>
            </w:tabs>
            <w:rPr>
              <w:rFonts w:eastAsiaTheme="minorEastAsia"/>
              <w:noProof/>
              <w:lang w:eastAsia="en-AU"/>
            </w:rPr>
          </w:pPr>
          <w:r w:rsidRPr="00CA33E4">
            <w:fldChar w:fldCharType="begin"/>
          </w:r>
          <w:r w:rsidRPr="00CA33E4">
            <w:instrText xml:space="preserve"> TOC \o "1-3" \h \z \u </w:instrText>
          </w:r>
          <w:r w:rsidRPr="00CA33E4">
            <w:fldChar w:fldCharType="separate"/>
          </w:r>
          <w:hyperlink w:anchor="_Toc101873618" w:history="1">
            <w:r w:rsidR="00925A89" w:rsidRPr="0015150A">
              <w:rPr>
                <w:rStyle w:val="Hyperlink"/>
                <w:noProof/>
              </w:rPr>
              <w:t>1.</w:t>
            </w:r>
            <w:r w:rsidR="00925A89">
              <w:rPr>
                <w:rFonts w:eastAsiaTheme="minorEastAsia"/>
                <w:noProof/>
                <w:lang w:eastAsia="en-AU"/>
              </w:rPr>
              <w:tab/>
            </w:r>
            <w:r w:rsidR="00925A89" w:rsidRPr="0015150A">
              <w:rPr>
                <w:rStyle w:val="Hyperlink"/>
                <w:noProof/>
              </w:rPr>
              <w:t>Table of Contents</w:t>
            </w:r>
            <w:r w:rsidR="00925A89">
              <w:rPr>
                <w:noProof/>
                <w:webHidden/>
              </w:rPr>
              <w:tab/>
            </w:r>
            <w:r w:rsidR="00925A89">
              <w:rPr>
                <w:noProof/>
                <w:webHidden/>
              </w:rPr>
              <w:fldChar w:fldCharType="begin"/>
            </w:r>
            <w:r w:rsidR="00925A89">
              <w:rPr>
                <w:noProof/>
                <w:webHidden/>
              </w:rPr>
              <w:instrText xml:space="preserve"> PAGEREF _Toc101873618 \h </w:instrText>
            </w:r>
            <w:r w:rsidR="00925A89">
              <w:rPr>
                <w:noProof/>
                <w:webHidden/>
              </w:rPr>
            </w:r>
            <w:r w:rsidR="00925A89">
              <w:rPr>
                <w:noProof/>
                <w:webHidden/>
              </w:rPr>
              <w:fldChar w:fldCharType="separate"/>
            </w:r>
            <w:r w:rsidR="00303DA7">
              <w:rPr>
                <w:noProof/>
                <w:webHidden/>
              </w:rPr>
              <w:t>2</w:t>
            </w:r>
            <w:r w:rsidR="00925A89">
              <w:rPr>
                <w:noProof/>
                <w:webHidden/>
              </w:rPr>
              <w:fldChar w:fldCharType="end"/>
            </w:r>
          </w:hyperlink>
        </w:p>
        <w:p w14:paraId="1575400A" w14:textId="2A28E67C" w:rsidR="00925A89" w:rsidRDefault="00925A89">
          <w:pPr>
            <w:pStyle w:val="TOC1"/>
            <w:tabs>
              <w:tab w:val="left" w:pos="440"/>
              <w:tab w:val="right" w:leader="dot" w:pos="9288"/>
            </w:tabs>
            <w:rPr>
              <w:rFonts w:eastAsiaTheme="minorEastAsia"/>
              <w:noProof/>
              <w:lang w:eastAsia="en-AU"/>
            </w:rPr>
          </w:pPr>
          <w:hyperlink w:anchor="_Toc101873619" w:history="1">
            <w:r w:rsidRPr="0015150A">
              <w:rPr>
                <w:rStyle w:val="Hyperlink"/>
                <w:noProof/>
              </w:rPr>
              <w:t>2.</w:t>
            </w:r>
            <w:r>
              <w:rPr>
                <w:rFonts w:eastAsiaTheme="minorEastAsia"/>
                <w:noProof/>
                <w:lang w:eastAsia="en-AU"/>
              </w:rPr>
              <w:tab/>
            </w:r>
            <w:r w:rsidRPr="0015150A">
              <w:rPr>
                <w:rStyle w:val="Hyperlink"/>
                <w:noProof/>
              </w:rPr>
              <w:t>Introduction</w:t>
            </w:r>
            <w:r>
              <w:rPr>
                <w:noProof/>
                <w:webHidden/>
              </w:rPr>
              <w:tab/>
            </w:r>
            <w:r>
              <w:rPr>
                <w:noProof/>
                <w:webHidden/>
              </w:rPr>
              <w:fldChar w:fldCharType="begin"/>
            </w:r>
            <w:r>
              <w:rPr>
                <w:noProof/>
                <w:webHidden/>
              </w:rPr>
              <w:instrText xml:space="preserve"> PAGEREF _Toc101873619 \h </w:instrText>
            </w:r>
            <w:r>
              <w:rPr>
                <w:noProof/>
                <w:webHidden/>
              </w:rPr>
            </w:r>
            <w:r>
              <w:rPr>
                <w:noProof/>
                <w:webHidden/>
              </w:rPr>
              <w:fldChar w:fldCharType="separate"/>
            </w:r>
            <w:r w:rsidR="00303DA7">
              <w:rPr>
                <w:noProof/>
                <w:webHidden/>
              </w:rPr>
              <w:t>3</w:t>
            </w:r>
            <w:r>
              <w:rPr>
                <w:noProof/>
                <w:webHidden/>
              </w:rPr>
              <w:fldChar w:fldCharType="end"/>
            </w:r>
          </w:hyperlink>
        </w:p>
        <w:p w14:paraId="4E267907" w14:textId="04A7AFD9" w:rsidR="00925A89" w:rsidRDefault="00925A89">
          <w:pPr>
            <w:pStyle w:val="TOC2"/>
            <w:tabs>
              <w:tab w:val="right" w:leader="dot" w:pos="9288"/>
            </w:tabs>
            <w:rPr>
              <w:rFonts w:eastAsiaTheme="minorEastAsia"/>
              <w:noProof/>
              <w:lang w:eastAsia="en-AU"/>
            </w:rPr>
          </w:pPr>
          <w:hyperlink w:anchor="_Toc101873620" w:history="1">
            <w:r w:rsidRPr="0015150A">
              <w:rPr>
                <w:rStyle w:val="Hyperlink"/>
                <w:noProof/>
              </w:rPr>
              <w:t>Overview</w:t>
            </w:r>
            <w:r>
              <w:rPr>
                <w:noProof/>
                <w:webHidden/>
              </w:rPr>
              <w:tab/>
            </w:r>
            <w:r>
              <w:rPr>
                <w:noProof/>
                <w:webHidden/>
              </w:rPr>
              <w:fldChar w:fldCharType="begin"/>
            </w:r>
            <w:r>
              <w:rPr>
                <w:noProof/>
                <w:webHidden/>
              </w:rPr>
              <w:instrText xml:space="preserve"> PAGEREF _Toc101873620 \h </w:instrText>
            </w:r>
            <w:r>
              <w:rPr>
                <w:noProof/>
                <w:webHidden/>
              </w:rPr>
            </w:r>
            <w:r>
              <w:rPr>
                <w:noProof/>
                <w:webHidden/>
              </w:rPr>
              <w:fldChar w:fldCharType="separate"/>
            </w:r>
            <w:r w:rsidR="00303DA7">
              <w:rPr>
                <w:noProof/>
                <w:webHidden/>
              </w:rPr>
              <w:t>3</w:t>
            </w:r>
            <w:r>
              <w:rPr>
                <w:noProof/>
                <w:webHidden/>
              </w:rPr>
              <w:fldChar w:fldCharType="end"/>
            </w:r>
          </w:hyperlink>
        </w:p>
        <w:p w14:paraId="34FDE0A1" w14:textId="37D94E8B" w:rsidR="00925A89" w:rsidRDefault="00925A89">
          <w:pPr>
            <w:pStyle w:val="TOC2"/>
            <w:tabs>
              <w:tab w:val="right" w:leader="dot" w:pos="9288"/>
            </w:tabs>
            <w:rPr>
              <w:rFonts w:eastAsiaTheme="minorEastAsia"/>
              <w:noProof/>
              <w:lang w:eastAsia="en-AU"/>
            </w:rPr>
          </w:pPr>
          <w:hyperlink w:anchor="_Toc101873621" w:history="1">
            <w:r w:rsidRPr="0015150A">
              <w:rPr>
                <w:rStyle w:val="Hyperlink"/>
                <w:noProof/>
              </w:rPr>
              <w:t>Purpose</w:t>
            </w:r>
            <w:r>
              <w:rPr>
                <w:noProof/>
                <w:webHidden/>
              </w:rPr>
              <w:tab/>
            </w:r>
            <w:r>
              <w:rPr>
                <w:noProof/>
                <w:webHidden/>
              </w:rPr>
              <w:fldChar w:fldCharType="begin"/>
            </w:r>
            <w:r>
              <w:rPr>
                <w:noProof/>
                <w:webHidden/>
              </w:rPr>
              <w:instrText xml:space="preserve"> PAGEREF _Toc101873621 \h </w:instrText>
            </w:r>
            <w:r>
              <w:rPr>
                <w:noProof/>
                <w:webHidden/>
              </w:rPr>
            </w:r>
            <w:r>
              <w:rPr>
                <w:noProof/>
                <w:webHidden/>
              </w:rPr>
              <w:fldChar w:fldCharType="separate"/>
            </w:r>
            <w:r w:rsidR="00303DA7">
              <w:rPr>
                <w:noProof/>
                <w:webHidden/>
              </w:rPr>
              <w:t>3</w:t>
            </w:r>
            <w:r>
              <w:rPr>
                <w:noProof/>
                <w:webHidden/>
              </w:rPr>
              <w:fldChar w:fldCharType="end"/>
            </w:r>
          </w:hyperlink>
        </w:p>
        <w:p w14:paraId="0A9F4739" w14:textId="6CB51312" w:rsidR="00925A89" w:rsidRDefault="00925A89">
          <w:pPr>
            <w:pStyle w:val="TOC2"/>
            <w:tabs>
              <w:tab w:val="right" w:leader="dot" w:pos="9288"/>
            </w:tabs>
            <w:rPr>
              <w:rFonts w:eastAsiaTheme="minorEastAsia"/>
              <w:noProof/>
              <w:lang w:eastAsia="en-AU"/>
            </w:rPr>
          </w:pPr>
          <w:hyperlink w:anchor="_Toc101873622" w:history="1">
            <w:r w:rsidRPr="0015150A">
              <w:rPr>
                <w:rStyle w:val="Hyperlink"/>
                <w:noProof/>
              </w:rPr>
              <w:t>Statement of Commitment</w:t>
            </w:r>
            <w:r>
              <w:rPr>
                <w:noProof/>
                <w:webHidden/>
              </w:rPr>
              <w:tab/>
            </w:r>
            <w:r>
              <w:rPr>
                <w:noProof/>
                <w:webHidden/>
              </w:rPr>
              <w:fldChar w:fldCharType="begin"/>
            </w:r>
            <w:r>
              <w:rPr>
                <w:noProof/>
                <w:webHidden/>
              </w:rPr>
              <w:instrText xml:space="preserve"> PAGEREF _Toc101873622 \h </w:instrText>
            </w:r>
            <w:r>
              <w:rPr>
                <w:noProof/>
                <w:webHidden/>
              </w:rPr>
            </w:r>
            <w:r>
              <w:rPr>
                <w:noProof/>
                <w:webHidden/>
              </w:rPr>
              <w:fldChar w:fldCharType="separate"/>
            </w:r>
            <w:r w:rsidR="00303DA7">
              <w:rPr>
                <w:noProof/>
                <w:webHidden/>
              </w:rPr>
              <w:t>3</w:t>
            </w:r>
            <w:r>
              <w:rPr>
                <w:noProof/>
                <w:webHidden/>
              </w:rPr>
              <w:fldChar w:fldCharType="end"/>
            </w:r>
          </w:hyperlink>
        </w:p>
        <w:p w14:paraId="1B7C1B2B" w14:textId="7A875F40" w:rsidR="00925A89" w:rsidRDefault="00925A89">
          <w:pPr>
            <w:pStyle w:val="TOC2"/>
            <w:tabs>
              <w:tab w:val="right" w:leader="dot" w:pos="9288"/>
            </w:tabs>
            <w:rPr>
              <w:rFonts w:eastAsiaTheme="minorEastAsia"/>
              <w:noProof/>
              <w:lang w:eastAsia="en-AU"/>
            </w:rPr>
          </w:pPr>
          <w:hyperlink w:anchor="_Toc101873623" w:history="1">
            <w:r w:rsidRPr="0015150A">
              <w:rPr>
                <w:rStyle w:val="Hyperlink"/>
                <w:noProof/>
              </w:rPr>
              <w:t>Local Government Security Toolkit Tier</w:t>
            </w:r>
            <w:r>
              <w:rPr>
                <w:noProof/>
                <w:webHidden/>
              </w:rPr>
              <w:tab/>
            </w:r>
            <w:r>
              <w:rPr>
                <w:noProof/>
                <w:webHidden/>
              </w:rPr>
              <w:fldChar w:fldCharType="begin"/>
            </w:r>
            <w:r>
              <w:rPr>
                <w:noProof/>
                <w:webHidden/>
              </w:rPr>
              <w:instrText xml:space="preserve"> PAGEREF _Toc101873623 \h </w:instrText>
            </w:r>
            <w:r>
              <w:rPr>
                <w:noProof/>
                <w:webHidden/>
              </w:rPr>
            </w:r>
            <w:r>
              <w:rPr>
                <w:noProof/>
                <w:webHidden/>
              </w:rPr>
              <w:fldChar w:fldCharType="separate"/>
            </w:r>
            <w:r w:rsidR="00303DA7">
              <w:rPr>
                <w:noProof/>
                <w:webHidden/>
              </w:rPr>
              <w:t>3</w:t>
            </w:r>
            <w:r>
              <w:rPr>
                <w:noProof/>
                <w:webHidden/>
              </w:rPr>
              <w:fldChar w:fldCharType="end"/>
            </w:r>
          </w:hyperlink>
        </w:p>
        <w:p w14:paraId="032B02B6" w14:textId="51AE36F5" w:rsidR="00925A89" w:rsidRDefault="00925A89">
          <w:pPr>
            <w:pStyle w:val="TOC2"/>
            <w:tabs>
              <w:tab w:val="right" w:leader="dot" w:pos="9288"/>
            </w:tabs>
            <w:rPr>
              <w:rFonts w:eastAsiaTheme="minorEastAsia"/>
              <w:noProof/>
              <w:lang w:eastAsia="en-AU"/>
            </w:rPr>
          </w:pPr>
          <w:hyperlink w:anchor="_Toc101873624" w:history="1">
            <w:r w:rsidRPr="0015150A">
              <w:rPr>
                <w:rStyle w:val="Hyperlink"/>
                <w:noProof/>
              </w:rPr>
              <w:t>Security Objectives</w:t>
            </w:r>
            <w:r>
              <w:rPr>
                <w:noProof/>
                <w:webHidden/>
              </w:rPr>
              <w:tab/>
            </w:r>
            <w:r>
              <w:rPr>
                <w:noProof/>
                <w:webHidden/>
              </w:rPr>
              <w:fldChar w:fldCharType="begin"/>
            </w:r>
            <w:r>
              <w:rPr>
                <w:noProof/>
                <w:webHidden/>
              </w:rPr>
              <w:instrText xml:space="preserve"> PAGEREF _Toc101873624 \h </w:instrText>
            </w:r>
            <w:r>
              <w:rPr>
                <w:noProof/>
                <w:webHidden/>
              </w:rPr>
            </w:r>
            <w:r>
              <w:rPr>
                <w:noProof/>
                <w:webHidden/>
              </w:rPr>
              <w:fldChar w:fldCharType="separate"/>
            </w:r>
            <w:r w:rsidR="00303DA7">
              <w:rPr>
                <w:noProof/>
                <w:webHidden/>
              </w:rPr>
              <w:t>4</w:t>
            </w:r>
            <w:r>
              <w:rPr>
                <w:noProof/>
                <w:webHidden/>
              </w:rPr>
              <w:fldChar w:fldCharType="end"/>
            </w:r>
          </w:hyperlink>
        </w:p>
        <w:p w14:paraId="2413BB8A" w14:textId="63376EFD" w:rsidR="00925A89" w:rsidRDefault="00925A89">
          <w:pPr>
            <w:pStyle w:val="TOC1"/>
            <w:tabs>
              <w:tab w:val="left" w:pos="440"/>
              <w:tab w:val="right" w:leader="dot" w:pos="9288"/>
            </w:tabs>
            <w:rPr>
              <w:rFonts w:eastAsiaTheme="minorEastAsia"/>
              <w:noProof/>
              <w:lang w:eastAsia="en-AU"/>
            </w:rPr>
          </w:pPr>
          <w:hyperlink w:anchor="_Toc101873625" w:history="1">
            <w:r w:rsidRPr="0015150A">
              <w:rPr>
                <w:rStyle w:val="Hyperlink"/>
                <w:noProof/>
              </w:rPr>
              <w:t>3.</w:t>
            </w:r>
            <w:r>
              <w:rPr>
                <w:rFonts w:eastAsiaTheme="minorEastAsia"/>
                <w:noProof/>
                <w:lang w:eastAsia="en-AU"/>
              </w:rPr>
              <w:tab/>
            </w:r>
            <w:r w:rsidRPr="0015150A">
              <w:rPr>
                <w:rStyle w:val="Hyperlink"/>
                <w:noProof/>
              </w:rPr>
              <w:t>Security Program Scope</w:t>
            </w:r>
            <w:r>
              <w:rPr>
                <w:noProof/>
                <w:webHidden/>
              </w:rPr>
              <w:tab/>
            </w:r>
            <w:r>
              <w:rPr>
                <w:noProof/>
                <w:webHidden/>
              </w:rPr>
              <w:fldChar w:fldCharType="begin"/>
            </w:r>
            <w:r>
              <w:rPr>
                <w:noProof/>
                <w:webHidden/>
              </w:rPr>
              <w:instrText xml:space="preserve"> PAGEREF _Toc101873625 \h </w:instrText>
            </w:r>
            <w:r>
              <w:rPr>
                <w:noProof/>
                <w:webHidden/>
              </w:rPr>
            </w:r>
            <w:r>
              <w:rPr>
                <w:noProof/>
                <w:webHidden/>
              </w:rPr>
              <w:fldChar w:fldCharType="separate"/>
            </w:r>
            <w:r w:rsidR="00303DA7">
              <w:rPr>
                <w:noProof/>
                <w:webHidden/>
              </w:rPr>
              <w:t>5</w:t>
            </w:r>
            <w:r>
              <w:rPr>
                <w:noProof/>
                <w:webHidden/>
              </w:rPr>
              <w:fldChar w:fldCharType="end"/>
            </w:r>
          </w:hyperlink>
        </w:p>
        <w:p w14:paraId="240E5230" w14:textId="6EA5FA1D" w:rsidR="00925A89" w:rsidRDefault="00925A89">
          <w:pPr>
            <w:pStyle w:val="TOC2"/>
            <w:tabs>
              <w:tab w:val="right" w:leader="dot" w:pos="9288"/>
            </w:tabs>
            <w:rPr>
              <w:rFonts w:eastAsiaTheme="minorEastAsia"/>
              <w:noProof/>
              <w:lang w:eastAsia="en-AU"/>
            </w:rPr>
          </w:pPr>
          <w:hyperlink w:anchor="_Toc101873626" w:history="1">
            <w:r w:rsidRPr="0015150A">
              <w:rPr>
                <w:rStyle w:val="Hyperlink"/>
                <w:noProof/>
              </w:rPr>
              <w:t>Scope Statement</w:t>
            </w:r>
            <w:r>
              <w:rPr>
                <w:noProof/>
                <w:webHidden/>
              </w:rPr>
              <w:tab/>
            </w:r>
            <w:r>
              <w:rPr>
                <w:noProof/>
                <w:webHidden/>
              </w:rPr>
              <w:fldChar w:fldCharType="begin"/>
            </w:r>
            <w:r>
              <w:rPr>
                <w:noProof/>
                <w:webHidden/>
              </w:rPr>
              <w:instrText xml:space="preserve"> PAGEREF _Toc101873626 \h </w:instrText>
            </w:r>
            <w:r>
              <w:rPr>
                <w:noProof/>
                <w:webHidden/>
              </w:rPr>
            </w:r>
            <w:r>
              <w:rPr>
                <w:noProof/>
                <w:webHidden/>
              </w:rPr>
              <w:fldChar w:fldCharType="separate"/>
            </w:r>
            <w:r w:rsidR="00303DA7">
              <w:rPr>
                <w:noProof/>
                <w:webHidden/>
              </w:rPr>
              <w:t>5</w:t>
            </w:r>
            <w:r>
              <w:rPr>
                <w:noProof/>
                <w:webHidden/>
              </w:rPr>
              <w:fldChar w:fldCharType="end"/>
            </w:r>
          </w:hyperlink>
        </w:p>
        <w:p w14:paraId="5473B6A1" w14:textId="6ED1BB60" w:rsidR="00925A89" w:rsidRDefault="00925A89">
          <w:pPr>
            <w:pStyle w:val="TOC2"/>
            <w:tabs>
              <w:tab w:val="right" w:leader="dot" w:pos="9288"/>
            </w:tabs>
            <w:rPr>
              <w:rFonts w:eastAsiaTheme="minorEastAsia"/>
              <w:noProof/>
              <w:lang w:eastAsia="en-AU"/>
            </w:rPr>
          </w:pPr>
          <w:hyperlink w:anchor="_Toc101873627" w:history="1">
            <w:r w:rsidRPr="0015150A">
              <w:rPr>
                <w:rStyle w:val="Hyperlink"/>
                <w:noProof/>
              </w:rPr>
              <w:t>Boundaries</w:t>
            </w:r>
            <w:r>
              <w:rPr>
                <w:noProof/>
                <w:webHidden/>
              </w:rPr>
              <w:tab/>
            </w:r>
            <w:r>
              <w:rPr>
                <w:noProof/>
                <w:webHidden/>
              </w:rPr>
              <w:fldChar w:fldCharType="begin"/>
            </w:r>
            <w:r>
              <w:rPr>
                <w:noProof/>
                <w:webHidden/>
              </w:rPr>
              <w:instrText xml:space="preserve"> PAGEREF _Toc101873627 \h </w:instrText>
            </w:r>
            <w:r>
              <w:rPr>
                <w:noProof/>
                <w:webHidden/>
              </w:rPr>
            </w:r>
            <w:r>
              <w:rPr>
                <w:noProof/>
                <w:webHidden/>
              </w:rPr>
              <w:fldChar w:fldCharType="separate"/>
            </w:r>
            <w:r w:rsidR="00303DA7">
              <w:rPr>
                <w:noProof/>
                <w:webHidden/>
              </w:rPr>
              <w:t>5</w:t>
            </w:r>
            <w:r>
              <w:rPr>
                <w:noProof/>
                <w:webHidden/>
              </w:rPr>
              <w:fldChar w:fldCharType="end"/>
            </w:r>
          </w:hyperlink>
        </w:p>
        <w:p w14:paraId="76322B5B" w14:textId="5F594A16" w:rsidR="00925A89" w:rsidRDefault="00925A89">
          <w:pPr>
            <w:pStyle w:val="TOC2"/>
            <w:tabs>
              <w:tab w:val="right" w:leader="dot" w:pos="9288"/>
            </w:tabs>
            <w:rPr>
              <w:rFonts w:eastAsiaTheme="minorEastAsia"/>
              <w:noProof/>
              <w:lang w:eastAsia="en-AU"/>
            </w:rPr>
          </w:pPr>
          <w:hyperlink w:anchor="_Toc101873628" w:history="1">
            <w:r w:rsidRPr="0015150A">
              <w:rPr>
                <w:rStyle w:val="Hyperlink"/>
                <w:noProof/>
              </w:rPr>
              <w:t>Scope Exclusions</w:t>
            </w:r>
            <w:r>
              <w:rPr>
                <w:noProof/>
                <w:webHidden/>
              </w:rPr>
              <w:tab/>
            </w:r>
            <w:r>
              <w:rPr>
                <w:noProof/>
                <w:webHidden/>
              </w:rPr>
              <w:fldChar w:fldCharType="begin"/>
            </w:r>
            <w:r>
              <w:rPr>
                <w:noProof/>
                <w:webHidden/>
              </w:rPr>
              <w:instrText xml:space="preserve"> PAGEREF _Toc101873628 \h </w:instrText>
            </w:r>
            <w:r>
              <w:rPr>
                <w:noProof/>
                <w:webHidden/>
              </w:rPr>
            </w:r>
            <w:r>
              <w:rPr>
                <w:noProof/>
                <w:webHidden/>
              </w:rPr>
              <w:fldChar w:fldCharType="separate"/>
            </w:r>
            <w:r w:rsidR="00303DA7">
              <w:rPr>
                <w:noProof/>
                <w:webHidden/>
              </w:rPr>
              <w:t>5</w:t>
            </w:r>
            <w:r>
              <w:rPr>
                <w:noProof/>
                <w:webHidden/>
              </w:rPr>
              <w:fldChar w:fldCharType="end"/>
            </w:r>
          </w:hyperlink>
        </w:p>
        <w:p w14:paraId="7DB63F56" w14:textId="55D7B5F2" w:rsidR="00925A89" w:rsidRDefault="00925A89">
          <w:pPr>
            <w:pStyle w:val="TOC2"/>
            <w:tabs>
              <w:tab w:val="right" w:leader="dot" w:pos="9288"/>
            </w:tabs>
            <w:rPr>
              <w:rFonts w:eastAsiaTheme="minorEastAsia"/>
              <w:noProof/>
              <w:lang w:eastAsia="en-AU"/>
            </w:rPr>
          </w:pPr>
          <w:hyperlink w:anchor="_Toc101873629" w:history="1">
            <w:r w:rsidRPr="0015150A">
              <w:rPr>
                <w:rStyle w:val="Hyperlink"/>
                <w:noProof/>
              </w:rPr>
              <w:t>Interested Parties</w:t>
            </w:r>
            <w:r>
              <w:rPr>
                <w:noProof/>
                <w:webHidden/>
              </w:rPr>
              <w:tab/>
            </w:r>
            <w:r>
              <w:rPr>
                <w:noProof/>
                <w:webHidden/>
              </w:rPr>
              <w:fldChar w:fldCharType="begin"/>
            </w:r>
            <w:r>
              <w:rPr>
                <w:noProof/>
                <w:webHidden/>
              </w:rPr>
              <w:instrText xml:space="preserve"> PAGEREF _Toc101873629 \h </w:instrText>
            </w:r>
            <w:r>
              <w:rPr>
                <w:noProof/>
                <w:webHidden/>
              </w:rPr>
            </w:r>
            <w:r>
              <w:rPr>
                <w:noProof/>
                <w:webHidden/>
              </w:rPr>
              <w:fldChar w:fldCharType="separate"/>
            </w:r>
            <w:r w:rsidR="00303DA7">
              <w:rPr>
                <w:noProof/>
                <w:webHidden/>
              </w:rPr>
              <w:t>6</w:t>
            </w:r>
            <w:r>
              <w:rPr>
                <w:noProof/>
                <w:webHidden/>
              </w:rPr>
              <w:fldChar w:fldCharType="end"/>
            </w:r>
          </w:hyperlink>
        </w:p>
        <w:p w14:paraId="53A8BB0E" w14:textId="780866E3" w:rsidR="00925A89" w:rsidRDefault="00925A89">
          <w:pPr>
            <w:pStyle w:val="TOC2"/>
            <w:tabs>
              <w:tab w:val="right" w:leader="dot" w:pos="9288"/>
            </w:tabs>
            <w:rPr>
              <w:rFonts w:eastAsiaTheme="minorEastAsia"/>
              <w:noProof/>
              <w:lang w:eastAsia="en-AU"/>
            </w:rPr>
          </w:pPr>
          <w:hyperlink w:anchor="_Toc101873630" w:history="1">
            <w:r w:rsidRPr="0015150A">
              <w:rPr>
                <w:rStyle w:val="Hyperlink"/>
                <w:noProof/>
              </w:rPr>
              <w:t>Constraints</w:t>
            </w:r>
            <w:r>
              <w:rPr>
                <w:noProof/>
                <w:webHidden/>
              </w:rPr>
              <w:tab/>
            </w:r>
            <w:r>
              <w:rPr>
                <w:noProof/>
                <w:webHidden/>
              </w:rPr>
              <w:fldChar w:fldCharType="begin"/>
            </w:r>
            <w:r>
              <w:rPr>
                <w:noProof/>
                <w:webHidden/>
              </w:rPr>
              <w:instrText xml:space="preserve"> PAGEREF _Toc101873630 \h </w:instrText>
            </w:r>
            <w:r>
              <w:rPr>
                <w:noProof/>
                <w:webHidden/>
              </w:rPr>
            </w:r>
            <w:r>
              <w:rPr>
                <w:noProof/>
                <w:webHidden/>
              </w:rPr>
              <w:fldChar w:fldCharType="separate"/>
            </w:r>
            <w:r w:rsidR="00303DA7">
              <w:rPr>
                <w:noProof/>
                <w:webHidden/>
              </w:rPr>
              <w:t>7</w:t>
            </w:r>
            <w:r>
              <w:rPr>
                <w:noProof/>
                <w:webHidden/>
              </w:rPr>
              <w:fldChar w:fldCharType="end"/>
            </w:r>
          </w:hyperlink>
        </w:p>
        <w:p w14:paraId="0B1CE8D2" w14:textId="7F3AD893" w:rsidR="00925A89" w:rsidRDefault="00925A89">
          <w:pPr>
            <w:pStyle w:val="TOC1"/>
            <w:tabs>
              <w:tab w:val="left" w:pos="440"/>
              <w:tab w:val="right" w:leader="dot" w:pos="9288"/>
            </w:tabs>
            <w:rPr>
              <w:rFonts w:eastAsiaTheme="minorEastAsia"/>
              <w:noProof/>
              <w:lang w:eastAsia="en-AU"/>
            </w:rPr>
          </w:pPr>
          <w:hyperlink w:anchor="_Toc101873631" w:history="1">
            <w:r w:rsidRPr="0015150A">
              <w:rPr>
                <w:rStyle w:val="Hyperlink"/>
                <w:noProof/>
              </w:rPr>
              <w:t>4.</w:t>
            </w:r>
            <w:r>
              <w:rPr>
                <w:rFonts w:eastAsiaTheme="minorEastAsia"/>
                <w:noProof/>
                <w:lang w:eastAsia="en-AU"/>
              </w:rPr>
              <w:tab/>
            </w:r>
            <w:r w:rsidRPr="0015150A">
              <w:rPr>
                <w:rStyle w:val="Hyperlink"/>
                <w:noProof/>
              </w:rPr>
              <w:t>Security Governance</w:t>
            </w:r>
            <w:r>
              <w:rPr>
                <w:noProof/>
                <w:webHidden/>
              </w:rPr>
              <w:tab/>
            </w:r>
            <w:r>
              <w:rPr>
                <w:noProof/>
                <w:webHidden/>
              </w:rPr>
              <w:fldChar w:fldCharType="begin"/>
            </w:r>
            <w:r>
              <w:rPr>
                <w:noProof/>
                <w:webHidden/>
              </w:rPr>
              <w:instrText xml:space="preserve"> PAGEREF _Toc101873631 \h </w:instrText>
            </w:r>
            <w:r>
              <w:rPr>
                <w:noProof/>
                <w:webHidden/>
              </w:rPr>
            </w:r>
            <w:r>
              <w:rPr>
                <w:noProof/>
                <w:webHidden/>
              </w:rPr>
              <w:fldChar w:fldCharType="separate"/>
            </w:r>
            <w:r w:rsidR="00303DA7">
              <w:rPr>
                <w:noProof/>
                <w:webHidden/>
              </w:rPr>
              <w:t>8</w:t>
            </w:r>
            <w:r>
              <w:rPr>
                <w:noProof/>
                <w:webHidden/>
              </w:rPr>
              <w:fldChar w:fldCharType="end"/>
            </w:r>
          </w:hyperlink>
        </w:p>
        <w:p w14:paraId="6F1C86DE" w14:textId="28AFEDC4" w:rsidR="00925A89" w:rsidRDefault="00925A89">
          <w:pPr>
            <w:pStyle w:val="TOC2"/>
            <w:tabs>
              <w:tab w:val="right" w:leader="dot" w:pos="9288"/>
            </w:tabs>
            <w:rPr>
              <w:rFonts w:eastAsiaTheme="minorEastAsia"/>
              <w:noProof/>
              <w:lang w:eastAsia="en-AU"/>
            </w:rPr>
          </w:pPr>
          <w:hyperlink w:anchor="_Toc101873632" w:history="1">
            <w:r w:rsidRPr="0015150A">
              <w:rPr>
                <w:rStyle w:val="Hyperlink"/>
                <w:noProof/>
              </w:rPr>
              <w:t>Governance Model</w:t>
            </w:r>
            <w:r>
              <w:rPr>
                <w:noProof/>
                <w:webHidden/>
              </w:rPr>
              <w:tab/>
            </w:r>
            <w:r>
              <w:rPr>
                <w:noProof/>
                <w:webHidden/>
              </w:rPr>
              <w:fldChar w:fldCharType="begin"/>
            </w:r>
            <w:r>
              <w:rPr>
                <w:noProof/>
                <w:webHidden/>
              </w:rPr>
              <w:instrText xml:space="preserve"> PAGEREF _Toc101873632 \h </w:instrText>
            </w:r>
            <w:r>
              <w:rPr>
                <w:noProof/>
                <w:webHidden/>
              </w:rPr>
            </w:r>
            <w:r>
              <w:rPr>
                <w:noProof/>
                <w:webHidden/>
              </w:rPr>
              <w:fldChar w:fldCharType="separate"/>
            </w:r>
            <w:r w:rsidR="00303DA7">
              <w:rPr>
                <w:noProof/>
                <w:webHidden/>
              </w:rPr>
              <w:t>8</w:t>
            </w:r>
            <w:r>
              <w:rPr>
                <w:noProof/>
                <w:webHidden/>
              </w:rPr>
              <w:fldChar w:fldCharType="end"/>
            </w:r>
          </w:hyperlink>
        </w:p>
        <w:p w14:paraId="346EF6E6" w14:textId="5FC25D8B" w:rsidR="00925A89" w:rsidRDefault="00925A89">
          <w:pPr>
            <w:pStyle w:val="TOC2"/>
            <w:tabs>
              <w:tab w:val="right" w:leader="dot" w:pos="9288"/>
            </w:tabs>
            <w:rPr>
              <w:rFonts w:eastAsiaTheme="minorEastAsia"/>
              <w:noProof/>
              <w:lang w:eastAsia="en-AU"/>
            </w:rPr>
          </w:pPr>
          <w:hyperlink w:anchor="_Toc101873633" w:history="1">
            <w:r w:rsidRPr="0015150A">
              <w:rPr>
                <w:rStyle w:val="Hyperlink"/>
                <w:noProof/>
              </w:rPr>
              <w:t>Legal and Regulatory Requirements</w:t>
            </w:r>
            <w:r>
              <w:rPr>
                <w:noProof/>
                <w:webHidden/>
              </w:rPr>
              <w:tab/>
            </w:r>
            <w:r>
              <w:rPr>
                <w:noProof/>
                <w:webHidden/>
              </w:rPr>
              <w:fldChar w:fldCharType="begin"/>
            </w:r>
            <w:r>
              <w:rPr>
                <w:noProof/>
                <w:webHidden/>
              </w:rPr>
              <w:instrText xml:space="preserve"> PAGEREF _Toc101873633 \h </w:instrText>
            </w:r>
            <w:r>
              <w:rPr>
                <w:noProof/>
                <w:webHidden/>
              </w:rPr>
            </w:r>
            <w:r>
              <w:rPr>
                <w:noProof/>
                <w:webHidden/>
              </w:rPr>
              <w:fldChar w:fldCharType="separate"/>
            </w:r>
            <w:r w:rsidR="00303DA7">
              <w:rPr>
                <w:noProof/>
                <w:webHidden/>
              </w:rPr>
              <w:t>8</w:t>
            </w:r>
            <w:r>
              <w:rPr>
                <w:noProof/>
                <w:webHidden/>
              </w:rPr>
              <w:fldChar w:fldCharType="end"/>
            </w:r>
          </w:hyperlink>
        </w:p>
        <w:p w14:paraId="20029FF6" w14:textId="0B986E53" w:rsidR="00925A89" w:rsidRDefault="00925A89">
          <w:pPr>
            <w:pStyle w:val="TOC1"/>
            <w:tabs>
              <w:tab w:val="left" w:pos="440"/>
              <w:tab w:val="right" w:leader="dot" w:pos="9288"/>
            </w:tabs>
            <w:rPr>
              <w:rFonts w:eastAsiaTheme="minorEastAsia"/>
              <w:noProof/>
              <w:lang w:eastAsia="en-AU"/>
            </w:rPr>
          </w:pPr>
          <w:hyperlink w:anchor="_Toc101873634" w:history="1">
            <w:r w:rsidRPr="0015150A">
              <w:rPr>
                <w:rStyle w:val="Hyperlink"/>
                <w:noProof/>
              </w:rPr>
              <w:t>5.</w:t>
            </w:r>
            <w:r>
              <w:rPr>
                <w:rFonts w:eastAsiaTheme="minorEastAsia"/>
                <w:noProof/>
                <w:lang w:eastAsia="en-AU"/>
              </w:rPr>
              <w:tab/>
            </w:r>
            <w:r w:rsidRPr="0015150A">
              <w:rPr>
                <w:rStyle w:val="Hyperlink"/>
                <w:noProof/>
              </w:rPr>
              <w:t>Roles and Responsibilities</w:t>
            </w:r>
            <w:r>
              <w:rPr>
                <w:noProof/>
                <w:webHidden/>
              </w:rPr>
              <w:tab/>
            </w:r>
            <w:r>
              <w:rPr>
                <w:noProof/>
                <w:webHidden/>
              </w:rPr>
              <w:fldChar w:fldCharType="begin"/>
            </w:r>
            <w:r>
              <w:rPr>
                <w:noProof/>
                <w:webHidden/>
              </w:rPr>
              <w:instrText xml:space="preserve"> PAGEREF _Toc101873634 \h </w:instrText>
            </w:r>
            <w:r>
              <w:rPr>
                <w:noProof/>
                <w:webHidden/>
              </w:rPr>
            </w:r>
            <w:r>
              <w:rPr>
                <w:noProof/>
                <w:webHidden/>
              </w:rPr>
              <w:fldChar w:fldCharType="separate"/>
            </w:r>
            <w:r w:rsidR="00303DA7">
              <w:rPr>
                <w:noProof/>
                <w:webHidden/>
              </w:rPr>
              <w:t>9</w:t>
            </w:r>
            <w:r>
              <w:rPr>
                <w:noProof/>
                <w:webHidden/>
              </w:rPr>
              <w:fldChar w:fldCharType="end"/>
            </w:r>
          </w:hyperlink>
        </w:p>
        <w:p w14:paraId="1FBF6202" w14:textId="646B6683" w:rsidR="00925A89" w:rsidRDefault="00925A89">
          <w:pPr>
            <w:pStyle w:val="TOC1"/>
            <w:tabs>
              <w:tab w:val="left" w:pos="440"/>
              <w:tab w:val="right" w:leader="dot" w:pos="9288"/>
            </w:tabs>
            <w:rPr>
              <w:rFonts w:eastAsiaTheme="minorEastAsia"/>
              <w:noProof/>
              <w:lang w:eastAsia="en-AU"/>
            </w:rPr>
          </w:pPr>
          <w:hyperlink w:anchor="_Toc101873635" w:history="1">
            <w:r w:rsidRPr="0015150A">
              <w:rPr>
                <w:rStyle w:val="Hyperlink"/>
                <w:noProof/>
              </w:rPr>
              <w:t>6.</w:t>
            </w:r>
            <w:r>
              <w:rPr>
                <w:rFonts w:eastAsiaTheme="minorEastAsia"/>
                <w:noProof/>
                <w:lang w:eastAsia="en-AU"/>
              </w:rPr>
              <w:tab/>
            </w:r>
            <w:r w:rsidRPr="0015150A">
              <w:rPr>
                <w:rStyle w:val="Hyperlink"/>
                <w:noProof/>
              </w:rPr>
              <w:t>Effectiveness and Improvement</w:t>
            </w:r>
            <w:r>
              <w:rPr>
                <w:noProof/>
                <w:webHidden/>
              </w:rPr>
              <w:tab/>
            </w:r>
            <w:r>
              <w:rPr>
                <w:noProof/>
                <w:webHidden/>
              </w:rPr>
              <w:fldChar w:fldCharType="begin"/>
            </w:r>
            <w:r>
              <w:rPr>
                <w:noProof/>
                <w:webHidden/>
              </w:rPr>
              <w:instrText xml:space="preserve"> PAGEREF _Toc101873635 \h </w:instrText>
            </w:r>
            <w:r>
              <w:rPr>
                <w:noProof/>
                <w:webHidden/>
              </w:rPr>
            </w:r>
            <w:r>
              <w:rPr>
                <w:noProof/>
                <w:webHidden/>
              </w:rPr>
              <w:fldChar w:fldCharType="separate"/>
            </w:r>
            <w:r w:rsidR="00303DA7">
              <w:rPr>
                <w:noProof/>
                <w:webHidden/>
              </w:rPr>
              <w:t>13</w:t>
            </w:r>
            <w:r>
              <w:rPr>
                <w:noProof/>
                <w:webHidden/>
              </w:rPr>
              <w:fldChar w:fldCharType="end"/>
            </w:r>
          </w:hyperlink>
        </w:p>
        <w:p w14:paraId="0C1F9EB4" w14:textId="0767F4A2" w:rsidR="00925A89" w:rsidRDefault="00925A89">
          <w:pPr>
            <w:pStyle w:val="TOC1"/>
            <w:tabs>
              <w:tab w:val="left" w:pos="440"/>
              <w:tab w:val="right" w:leader="dot" w:pos="9288"/>
            </w:tabs>
            <w:rPr>
              <w:rFonts w:eastAsiaTheme="minorEastAsia"/>
              <w:noProof/>
              <w:lang w:eastAsia="en-AU"/>
            </w:rPr>
          </w:pPr>
          <w:hyperlink w:anchor="_Toc101873636" w:history="1">
            <w:r w:rsidRPr="0015150A">
              <w:rPr>
                <w:rStyle w:val="Hyperlink"/>
                <w:noProof/>
              </w:rPr>
              <w:t>7.</w:t>
            </w:r>
            <w:r>
              <w:rPr>
                <w:rFonts w:eastAsiaTheme="minorEastAsia"/>
                <w:noProof/>
                <w:lang w:eastAsia="en-AU"/>
              </w:rPr>
              <w:tab/>
            </w:r>
            <w:r w:rsidRPr="0015150A">
              <w:rPr>
                <w:rStyle w:val="Hyperlink"/>
                <w:noProof/>
              </w:rPr>
              <w:t>Compliance and Enforcement</w:t>
            </w:r>
            <w:r>
              <w:rPr>
                <w:noProof/>
                <w:webHidden/>
              </w:rPr>
              <w:tab/>
            </w:r>
            <w:r>
              <w:rPr>
                <w:noProof/>
                <w:webHidden/>
              </w:rPr>
              <w:fldChar w:fldCharType="begin"/>
            </w:r>
            <w:r>
              <w:rPr>
                <w:noProof/>
                <w:webHidden/>
              </w:rPr>
              <w:instrText xml:space="preserve"> PAGEREF _Toc101873636 \h </w:instrText>
            </w:r>
            <w:r>
              <w:rPr>
                <w:noProof/>
                <w:webHidden/>
              </w:rPr>
            </w:r>
            <w:r>
              <w:rPr>
                <w:noProof/>
                <w:webHidden/>
              </w:rPr>
              <w:fldChar w:fldCharType="separate"/>
            </w:r>
            <w:r w:rsidR="00303DA7">
              <w:rPr>
                <w:noProof/>
                <w:webHidden/>
              </w:rPr>
              <w:t>13</w:t>
            </w:r>
            <w:r>
              <w:rPr>
                <w:noProof/>
                <w:webHidden/>
              </w:rPr>
              <w:fldChar w:fldCharType="end"/>
            </w:r>
          </w:hyperlink>
        </w:p>
        <w:p w14:paraId="341806CE" w14:textId="10C889CB" w:rsidR="00925A89" w:rsidRDefault="00925A89">
          <w:pPr>
            <w:pStyle w:val="TOC1"/>
            <w:tabs>
              <w:tab w:val="left" w:pos="440"/>
              <w:tab w:val="right" w:leader="dot" w:pos="9288"/>
            </w:tabs>
            <w:rPr>
              <w:rFonts w:eastAsiaTheme="minorEastAsia"/>
              <w:noProof/>
              <w:lang w:eastAsia="en-AU"/>
            </w:rPr>
          </w:pPr>
          <w:hyperlink w:anchor="_Toc101873637" w:history="1">
            <w:r w:rsidRPr="0015150A">
              <w:rPr>
                <w:rStyle w:val="Hyperlink"/>
                <w:noProof/>
              </w:rPr>
              <w:t>8.</w:t>
            </w:r>
            <w:r>
              <w:rPr>
                <w:rFonts w:eastAsiaTheme="minorEastAsia"/>
                <w:noProof/>
                <w:lang w:eastAsia="en-AU"/>
              </w:rPr>
              <w:tab/>
            </w:r>
            <w:r w:rsidRPr="0015150A">
              <w:rPr>
                <w:rStyle w:val="Hyperlink"/>
                <w:noProof/>
              </w:rPr>
              <w:t>Policy Review</w:t>
            </w:r>
            <w:r>
              <w:rPr>
                <w:noProof/>
                <w:webHidden/>
              </w:rPr>
              <w:tab/>
            </w:r>
            <w:r>
              <w:rPr>
                <w:noProof/>
                <w:webHidden/>
              </w:rPr>
              <w:fldChar w:fldCharType="begin"/>
            </w:r>
            <w:r>
              <w:rPr>
                <w:noProof/>
                <w:webHidden/>
              </w:rPr>
              <w:instrText xml:space="preserve"> PAGEREF _Toc101873637 \h </w:instrText>
            </w:r>
            <w:r>
              <w:rPr>
                <w:noProof/>
                <w:webHidden/>
              </w:rPr>
            </w:r>
            <w:r>
              <w:rPr>
                <w:noProof/>
                <w:webHidden/>
              </w:rPr>
              <w:fldChar w:fldCharType="separate"/>
            </w:r>
            <w:r w:rsidR="00303DA7">
              <w:rPr>
                <w:noProof/>
                <w:webHidden/>
              </w:rPr>
              <w:t>13</w:t>
            </w:r>
            <w:r>
              <w:rPr>
                <w:noProof/>
                <w:webHidden/>
              </w:rPr>
              <w:fldChar w:fldCharType="end"/>
            </w:r>
          </w:hyperlink>
        </w:p>
        <w:p w14:paraId="18C9D525" w14:textId="53E09A22" w:rsidR="00925A89" w:rsidRDefault="00925A89">
          <w:pPr>
            <w:pStyle w:val="TOC1"/>
            <w:tabs>
              <w:tab w:val="left" w:pos="440"/>
              <w:tab w:val="right" w:leader="dot" w:pos="9288"/>
            </w:tabs>
            <w:rPr>
              <w:rFonts w:eastAsiaTheme="minorEastAsia"/>
              <w:noProof/>
              <w:lang w:eastAsia="en-AU"/>
            </w:rPr>
          </w:pPr>
          <w:hyperlink w:anchor="_Toc101873638" w:history="1">
            <w:r w:rsidRPr="0015150A">
              <w:rPr>
                <w:rStyle w:val="Hyperlink"/>
                <w:noProof/>
              </w:rPr>
              <w:t>9.</w:t>
            </w:r>
            <w:r>
              <w:rPr>
                <w:rFonts w:eastAsiaTheme="minorEastAsia"/>
                <w:noProof/>
                <w:lang w:eastAsia="en-AU"/>
              </w:rPr>
              <w:tab/>
            </w:r>
            <w:r w:rsidRPr="0015150A">
              <w:rPr>
                <w:rStyle w:val="Hyperlink"/>
                <w:noProof/>
              </w:rPr>
              <w:t>References, Links and Additional Information</w:t>
            </w:r>
            <w:r>
              <w:rPr>
                <w:noProof/>
                <w:webHidden/>
              </w:rPr>
              <w:tab/>
            </w:r>
            <w:r>
              <w:rPr>
                <w:noProof/>
                <w:webHidden/>
              </w:rPr>
              <w:fldChar w:fldCharType="begin"/>
            </w:r>
            <w:r>
              <w:rPr>
                <w:noProof/>
                <w:webHidden/>
              </w:rPr>
              <w:instrText xml:space="preserve"> PAGEREF _Toc101873638 \h </w:instrText>
            </w:r>
            <w:r>
              <w:rPr>
                <w:noProof/>
                <w:webHidden/>
              </w:rPr>
            </w:r>
            <w:r>
              <w:rPr>
                <w:noProof/>
                <w:webHidden/>
              </w:rPr>
              <w:fldChar w:fldCharType="separate"/>
            </w:r>
            <w:r w:rsidR="00303DA7">
              <w:rPr>
                <w:noProof/>
                <w:webHidden/>
              </w:rPr>
              <w:t>13</w:t>
            </w:r>
            <w:r>
              <w:rPr>
                <w:noProof/>
                <w:webHidden/>
              </w:rPr>
              <w:fldChar w:fldCharType="end"/>
            </w:r>
          </w:hyperlink>
        </w:p>
        <w:p w14:paraId="1202AAC9" w14:textId="3086DB55" w:rsidR="00925A89" w:rsidRDefault="00925A89">
          <w:pPr>
            <w:pStyle w:val="TOC1"/>
            <w:tabs>
              <w:tab w:val="left" w:pos="660"/>
              <w:tab w:val="right" w:leader="dot" w:pos="9288"/>
            </w:tabs>
            <w:rPr>
              <w:rFonts w:eastAsiaTheme="minorEastAsia"/>
              <w:noProof/>
              <w:lang w:eastAsia="en-AU"/>
            </w:rPr>
          </w:pPr>
          <w:hyperlink w:anchor="_Toc101873639" w:history="1">
            <w:r w:rsidRPr="0015150A">
              <w:rPr>
                <w:rStyle w:val="Hyperlink"/>
                <w:noProof/>
              </w:rPr>
              <w:t>10.</w:t>
            </w:r>
            <w:r>
              <w:rPr>
                <w:rFonts w:eastAsiaTheme="minorEastAsia"/>
                <w:noProof/>
                <w:lang w:eastAsia="en-AU"/>
              </w:rPr>
              <w:tab/>
            </w:r>
            <w:r w:rsidRPr="0015150A">
              <w:rPr>
                <w:rStyle w:val="Hyperlink"/>
                <w:noProof/>
              </w:rPr>
              <w:t>Document Controls</w:t>
            </w:r>
            <w:r>
              <w:rPr>
                <w:noProof/>
                <w:webHidden/>
              </w:rPr>
              <w:tab/>
            </w:r>
            <w:r>
              <w:rPr>
                <w:noProof/>
                <w:webHidden/>
              </w:rPr>
              <w:fldChar w:fldCharType="begin"/>
            </w:r>
            <w:r>
              <w:rPr>
                <w:noProof/>
                <w:webHidden/>
              </w:rPr>
              <w:instrText xml:space="preserve"> PAGEREF _Toc101873639 \h </w:instrText>
            </w:r>
            <w:r>
              <w:rPr>
                <w:noProof/>
                <w:webHidden/>
              </w:rPr>
            </w:r>
            <w:r>
              <w:rPr>
                <w:noProof/>
                <w:webHidden/>
              </w:rPr>
              <w:fldChar w:fldCharType="separate"/>
            </w:r>
            <w:r w:rsidR="00303DA7">
              <w:rPr>
                <w:noProof/>
                <w:webHidden/>
              </w:rPr>
              <w:t>13</w:t>
            </w:r>
            <w:r>
              <w:rPr>
                <w:noProof/>
                <w:webHidden/>
              </w:rPr>
              <w:fldChar w:fldCharType="end"/>
            </w:r>
          </w:hyperlink>
        </w:p>
        <w:p w14:paraId="0B5E994B" w14:textId="4C26AE16" w:rsidR="00925A89" w:rsidRDefault="00925A89">
          <w:pPr>
            <w:pStyle w:val="TOC1"/>
            <w:tabs>
              <w:tab w:val="left" w:pos="660"/>
              <w:tab w:val="right" w:leader="dot" w:pos="9288"/>
            </w:tabs>
            <w:rPr>
              <w:rFonts w:eastAsiaTheme="minorEastAsia"/>
              <w:noProof/>
              <w:lang w:eastAsia="en-AU"/>
            </w:rPr>
          </w:pPr>
          <w:hyperlink w:anchor="_Toc101873640" w:history="1">
            <w:r w:rsidRPr="0015150A">
              <w:rPr>
                <w:rStyle w:val="Hyperlink"/>
                <w:noProof/>
              </w:rPr>
              <w:t>11.</w:t>
            </w:r>
            <w:r>
              <w:rPr>
                <w:rFonts w:eastAsiaTheme="minorEastAsia"/>
                <w:noProof/>
                <w:lang w:eastAsia="en-AU"/>
              </w:rPr>
              <w:tab/>
            </w:r>
            <w:r w:rsidRPr="0015150A">
              <w:rPr>
                <w:rStyle w:val="Hyperlink"/>
                <w:noProof/>
              </w:rPr>
              <w:t>Acknowledgement of Support</w:t>
            </w:r>
            <w:r>
              <w:rPr>
                <w:noProof/>
                <w:webHidden/>
              </w:rPr>
              <w:tab/>
            </w:r>
            <w:r>
              <w:rPr>
                <w:noProof/>
                <w:webHidden/>
              </w:rPr>
              <w:fldChar w:fldCharType="begin"/>
            </w:r>
            <w:r>
              <w:rPr>
                <w:noProof/>
                <w:webHidden/>
              </w:rPr>
              <w:instrText xml:space="preserve"> PAGEREF _Toc101873640 \h </w:instrText>
            </w:r>
            <w:r>
              <w:rPr>
                <w:noProof/>
                <w:webHidden/>
              </w:rPr>
            </w:r>
            <w:r>
              <w:rPr>
                <w:noProof/>
                <w:webHidden/>
              </w:rPr>
              <w:fldChar w:fldCharType="separate"/>
            </w:r>
            <w:r w:rsidR="00303DA7">
              <w:rPr>
                <w:noProof/>
                <w:webHidden/>
              </w:rPr>
              <w:t>14</w:t>
            </w:r>
            <w:r>
              <w:rPr>
                <w:noProof/>
                <w:webHidden/>
              </w:rPr>
              <w:fldChar w:fldCharType="end"/>
            </w:r>
          </w:hyperlink>
        </w:p>
        <w:p w14:paraId="36830891" w14:textId="472B9588" w:rsidR="009C4251" w:rsidRPr="007F5043" w:rsidRDefault="009C4251">
          <w:r w:rsidRPr="00CA33E4">
            <w:rPr>
              <w:b/>
              <w:bCs/>
            </w:rPr>
            <w:fldChar w:fldCharType="end"/>
          </w:r>
        </w:p>
      </w:sdtContent>
    </w:sdt>
    <w:p w14:paraId="080EC56D" w14:textId="66092318" w:rsidR="009C2ED7" w:rsidRDefault="00046403" w:rsidP="009C2ED7">
      <w:pPr>
        <w:pStyle w:val="Heading1"/>
      </w:pPr>
      <w:r w:rsidRPr="007F5043">
        <w:br w:type="page"/>
      </w:r>
      <w:bookmarkStart w:id="1" w:name="_Toc101873619"/>
      <w:r w:rsidR="00D55838">
        <w:lastRenderedPageBreak/>
        <w:t>Introduction</w:t>
      </w:r>
      <w:bookmarkEnd w:id="1"/>
    </w:p>
    <w:p w14:paraId="0794321A" w14:textId="4A30A3B6" w:rsidR="00D55838" w:rsidRDefault="00D55838" w:rsidP="00D55838">
      <w:pPr>
        <w:pStyle w:val="Heading2"/>
      </w:pPr>
      <w:bookmarkStart w:id="2" w:name="_Toc101873620"/>
      <w:r>
        <w:t>Overview</w:t>
      </w:r>
      <w:bookmarkEnd w:id="2"/>
    </w:p>
    <w:p w14:paraId="1A5FB453" w14:textId="5335767B" w:rsidR="00DD7B31" w:rsidRPr="007F5043" w:rsidRDefault="00DD7B31" w:rsidP="00DD7B31">
      <w:r>
        <w:t>Councils</w:t>
      </w:r>
      <w:r w:rsidRPr="007F5043">
        <w:t xml:space="preserve"> within South Australia provide a wide range of services to their community </w:t>
      </w:r>
      <w:proofErr w:type="gramStart"/>
      <w:r w:rsidRPr="007F5043">
        <w:t>through the use of</w:t>
      </w:r>
      <w:proofErr w:type="gramEnd"/>
      <w:r w:rsidRPr="007F5043">
        <w:t xml:space="preserve"> information and communications technology (</w:t>
      </w:r>
      <w:r>
        <w:t>‘</w:t>
      </w:r>
      <w:r w:rsidRPr="007F5043">
        <w:t>I</w:t>
      </w:r>
      <w:r>
        <w:t>C</w:t>
      </w:r>
      <w:r w:rsidRPr="007F5043">
        <w:t>T</w:t>
      </w:r>
      <w:r>
        <w:t>’</w:t>
      </w:r>
      <w:r w:rsidRPr="007F5043">
        <w:t>)</w:t>
      </w:r>
      <w:r>
        <w:t xml:space="preserve"> and operational technology (‘OT’)</w:t>
      </w:r>
      <w:r w:rsidRPr="007F5043">
        <w:t xml:space="preserve">. </w:t>
      </w:r>
      <w:proofErr w:type="gramStart"/>
      <w:r>
        <w:t>I</w:t>
      </w:r>
      <w:r w:rsidRPr="007F5043">
        <w:t>n order to</w:t>
      </w:r>
      <w:proofErr w:type="gramEnd"/>
      <w:r w:rsidRPr="007F5043">
        <w:t xml:space="preserve"> uphold the community’s trust and confidence, it is imperative that </w:t>
      </w:r>
      <w:r>
        <w:t xml:space="preserve">councils </w:t>
      </w:r>
      <w:r w:rsidRPr="007F5043">
        <w:t>safeguard their community’s information</w:t>
      </w:r>
      <w:r>
        <w:t xml:space="preserve"> and information assets </w:t>
      </w:r>
      <w:r w:rsidRPr="007F5043">
        <w:t xml:space="preserve">against </w:t>
      </w:r>
      <w:r>
        <w:t xml:space="preserve">security </w:t>
      </w:r>
      <w:r w:rsidRPr="007F5043">
        <w:t xml:space="preserve">threats. </w:t>
      </w:r>
    </w:p>
    <w:p w14:paraId="6495957D" w14:textId="77777777" w:rsidR="00DD7B31" w:rsidRPr="007F5043" w:rsidRDefault="00DD7B31" w:rsidP="00DD7B31">
      <w:r>
        <w:t xml:space="preserve">Local Government </w:t>
      </w:r>
      <w:r w:rsidRPr="007F5043">
        <w:t>Information Technology South Australia (</w:t>
      </w:r>
      <w:r>
        <w:t>‘</w:t>
      </w:r>
      <w:r w:rsidRPr="007F5043">
        <w:t>LGITSA</w:t>
      </w:r>
      <w:r>
        <w:t>’</w:t>
      </w:r>
      <w:r w:rsidRPr="007F5043">
        <w:t xml:space="preserve">) and the </w:t>
      </w:r>
      <w:r>
        <w:t>councils</w:t>
      </w:r>
      <w:r w:rsidRPr="007F5043">
        <w:t xml:space="preserve"> of South Australia have come together in a collaborative effort to create a standardised security framework known as the Local Government Security </w:t>
      </w:r>
      <w:r>
        <w:t>Toolkit</w:t>
      </w:r>
      <w:r w:rsidRPr="007F5043">
        <w:t xml:space="preserve"> (</w:t>
      </w:r>
      <w:r>
        <w:t>‘</w:t>
      </w:r>
      <w:r w:rsidRPr="007F5043">
        <w:t>LGS</w:t>
      </w:r>
      <w:r>
        <w:t>T’</w:t>
      </w:r>
      <w:r w:rsidRPr="007F5043">
        <w:t xml:space="preserve">). This framework takes into consideration the challenges and restrictions that </w:t>
      </w:r>
      <w:r>
        <w:t>councils</w:t>
      </w:r>
      <w:r w:rsidRPr="007F5043">
        <w:t xml:space="preserve"> face and leverages industry standards to encourage a consistent approach for establishing, </w:t>
      </w:r>
      <w:proofErr w:type="gramStart"/>
      <w:r w:rsidRPr="007F5043">
        <w:t>implementing</w:t>
      </w:r>
      <w:proofErr w:type="gramEnd"/>
      <w:r w:rsidRPr="007F5043">
        <w:t xml:space="preserve"> and maintaining </w:t>
      </w:r>
      <w:r>
        <w:t>strong security postures.</w:t>
      </w:r>
    </w:p>
    <w:p w14:paraId="4A481BE0" w14:textId="064998F7" w:rsidR="009C2ED7" w:rsidRPr="009C2ED7" w:rsidRDefault="00DD7B31" w:rsidP="009C2ED7">
      <w:pPr>
        <w:rPr>
          <w:rFonts w:cstheme="minorHAnsi"/>
        </w:rPr>
      </w:pPr>
      <w:r w:rsidRPr="00DD7B31">
        <w:rPr>
          <w:rFonts w:cstheme="minorHAnsi"/>
          <w:highlight w:val="yellow"/>
        </w:rPr>
        <w:t>[Council]</w:t>
      </w:r>
      <w:r w:rsidR="009C2ED7" w:rsidRPr="009C2ED7">
        <w:rPr>
          <w:rFonts w:cstheme="minorHAnsi"/>
        </w:rPr>
        <w:t xml:space="preserve"> holds a range of sensitive information</w:t>
      </w:r>
      <w:r w:rsidR="00B30741">
        <w:rPr>
          <w:rFonts w:cstheme="minorHAnsi"/>
        </w:rPr>
        <w:t xml:space="preserve"> and information assets</w:t>
      </w:r>
      <w:r w:rsidR="009C2ED7" w:rsidRPr="009C2ED7">
        <w:rPr>
          <w:rFonts w:cstheme="minorHAnsi"/>
        </w:rPr>
        <w:t xml:space="preserve"> that is critical to the viability of business operations, and the need to keep </w:t>
      </w:r>
      <w:r w:rsidR="00B30741">
        <w:rPr>
          <w:rFonts w:cstheme="minorHAnsi"/>
        </w:rPr>
        <w:t>these assets</w:t>
      </w:r>
      <w:r w:rsidR="009C2ED7" w:rsidRPr="009C2ED7">
        <w:rPr>
          <w:rFonts w:cstheme="minorHAnsi"/>
        </w:rPr>
        <w:t xml:space="preserve"> secure is the major driver for developing </w:t>
      </w:r>
      <w:r>
        <w:rPr>
          <w:rFonts w:cstheme="minorHAnsi"/>
        </w:rPr>
        <w:t xml:space="preserve">a </w:t>
      </w:r>
      <w:r w:rsidR="00A33B70">
        <w:rPr>
          <w:rFonts w:cstheme="minorHAnsi"/>
        </w:rPr>
        <w:t>s</w:t>
      </w:r>
      <w:r w:rsidR="009C2ED7" w:rsidRPr="009C2ED7">
        <w:rPr>
          <w:rFonts w:cstheme="minorHAnsi"/>
        </w:rPr>
        <w:t xml:space="preserve">ecurity </w:t>
      </w:r>
      <w:r w:rsidR="00A33B70">
        <w:rPr>
          <w:rFonts w:cstheme="minorHAnsi"/>
        </w:rPr>
        <w:t>p</w:t>
      </w:r>
      <w:r w:rsidR="009C2ED7" w:rsidRPr="009C2ED7">
        <w:rPr>
          <w:rFonts w:cstheme="minorHAnsi"/>
        </w:rPr>
        <w:t xml:space="preserve">rogram. The development of a </w:t>
      </w:r>
      <w:r w:rsidR="00A33B70">
        <w:rPr>
          <w:rFonts w:cstheme="minorHAnsi"/>
        </w:rPr>
        <w:t>security program</w:t>
      </w:r>
      <w:r w:rsidR="009C2ED7" w:rsidRPr="009C2ED7">
        <w:rPr>
          <w:rFonts w:cstheme="minorHAnsi"/>
        </w:rPr>
        <w:t xml:space="preserve"> will assist </w:t>
      </w:r>
      <w:r w:rsidRPr="00DD7B31">
        <w:rPr>
          <w:rFonts w:cstheme="minorHAnsi"/>
          <w:highlight w:val="yellow"/>
        </w:rPr>
        <w:t>[Council]</w:t>
      </w:r>
      <w:r w:rsidR="009C2ED7" w:rsidRPr="009C2ED7">
        <w:rPr>
          <w:rFonts w:cstheme="minorHAnsi"/>
        </w:rPr>
        <w:t xml:space="preserve"> in implementing a set of practices, controls, and processes that support the ongoing confidentiality, integrity, and availability of </w:t>
      </w:r>
      <w:r w:rsidRPr="00B30741">
        <w:rPr>
          <w:rFonts w:cstheme="minorHAnsi"/>
          <w:highlight w:val="yellow"/>
        </w:rPr>
        <w:t>[Council]</w:t>
      </w:r>
      <w:r w:rsidR="009C2ED7" w:rsidRPr="009C2ED7">
        <w:rPr>
          <w:rFonts w:cstheme="minorHAnsi"/>
        </w:rPr>
        <w:t xml:space="preserve">’s information </w:t>
      </w:r>
      <w:r w:rsidR="00B30741">
        <w:rPr>
          <w:rFonts w:cstheme="minorHAnsi"/>
        </w:rPr>
        <w:t xml:space="preserve">assets, including </w:t>
      </w:r>
      <w:r w:rsidR="009C2ED7" w:rsidRPr="009C2ED7">
        <w:rPr>
          <w:rFonts w:cstheme="minorHAnsi"/>
        </w:rPr>
        <w:t>the information it holds on behalf of the community, its customers, suppliers, and third parties.</w:t>
      </w:r>
    </w:p>
    <w:p w14:paraId="4B624933" w14:textId="02B5EA53" w:rsidR="009C2ED7" w:rsidRPr="009C2ED7" w:rsidRDefault="00441918" w:rsidP="00D55838">
      <w:pPr>
        <w:pStyle w:val="Heading2"/>
      </w:pPr>
      <w:bookmarkStart w:id="3" w:name="_Toc101873621"/>
      <w:r>
        <w:t>Purpose</w:t>
      </w:r>
      <w:bookmarkEnd w:id="3"/>
      <w:r w:rsidR="0077054B">
        <w:tab/>
      </w:r>
    </w:p>
    <w:p w14:paraId="149F07CA" w14:textId="05F7468E" w:rsidR="009C2ED7" w:rsidRPr="009C2ED7" w:rsidRDefault="009C2ED7" w:rsidP="009C2ED7">
      <w:pPr>
        <w:rPr>
          <w:rFonts w:cstheme="minorHAnsi"/>
        </w:rPr>
      </w:pPr>
      <w:r w:rsidRPr="009C2ED7">
        <w:rPr>
          <w:rFonts w:cstheme="minorHAnsi"/>
        </w:rPr>
        <w:t xml:space="preserve">The purpose of this Security Governance Policy is to outline how </w:t>
      </w:r>
      <w:r w:rsidR="00DD7B31" w:rsidRPr="00DD7B31">
        <w:rPr>
          <w:rFonts w:cstheme="minorHAnsi"/>
          <w:highlight w:val="yellow"/>
        </w:rPr>
        <w:t>[Council]</w:t>
      </w:r>
      <w:r w:rsidRPr="009C2ED7">
        <w:rPr>
          <w:rFonts w:cstheme="minorHAnsi"/>
        </w:rPr>
        <w:t xml:space="preserve"> manages security risks through its commitment to developing, implementing, and continually improving its </w:t>
      </w:r>
      <w:r w:rsidR="00A33B70">
        <w:rPr>
          <w:rFonts w:cstheme="minorHAnsi"/>
        </w:rPr>
        <w:t>security program</w:t>
      </w:r>
      <w:r w:rsidRPr="009C2ED7">
        <w:rPr>
          <w:rFonts w:cstheme="minorHAnsi"/>
        </w:rPr>
        <w:t xml:space="preserve">. </w:t>
      </w:r>
    </w:p>
    <w:p w14:paraId="33FA9731" w14:textId="05D14C52" w:rsidR="009C2ED7" w:rsidRPr="009C2ED7" w:rsidRDefault="00441918" w:rsidP="00D55838">
      <w:pPr>
        <w:pStyle w:val="Heading2"/>
      </w:pPr>
      <w:bookmarkStart w:id="4" w:name="_Toc101873622"/>
      <w:r>
        <w:t>Statement of Commitment</w:t>
      </w:r>
      <w:bookmarkEnd w:id="4"/>
    </w:p>
    <w:p w14:paraId="2F86FF3B" w14:textId="71E93887" w:rsidR="009C2ED7" w:rsidRPr="00441918" w:rsidRDefault="009C2ED7" w:rsidP="009C2ED7">
      <w:pPr>
        <w:rPr>
          <w:rStyle w:val="SubtleEmphasis"/>
        </w:rPr>
      </w:pPr>
      <w:r w:rsidRPr="00441918">
        <w:rPr>
          <w:rStyle w:val="SubtleEmphasis"/>
        </w:rPr>
        <w:t>[A commitment statement needs to be developed and approved by senior leadership to show their support for the management of security</w:t>
      </w:r>
      <w:r w:rsidR="00B30741">
        <w:rPr>
          <w:rStyle w:val="SubtleEmphasis"/>
        </w:rPr>
        <w:t xml:space="preserve"> risks</w:t>
      </w:r>
      <w:r w:rsidRPr="00441918">
        <w:rPr>
          <w:rStyle w:val="SubtleEmphasis"/>
        </w:rPr>
        <w:t xml:space="preserve">, enforcing and aligning the program and security objectives with the </w:t>
      </w:r>
      <w:r w:rsidR="00DD7B31">
        <w:rPr>
          <w:rStyle w:val="SubtleEmphasis"/>
        </w:rPr>
        <w:t>Council</w:t>
      </w:r>
      <w:r w:rsidRPr="00441918">
        <w:rPr>
          <w:rStyle w:val="SubtleEmphasis"/>
        </w:rPr>
        <w:t xml:space="preserve">’s strategic direction. An example statement could include] </w:t>
      </w:r>
    </w:p>
    <w:p w14:paraId="68FA3866" w14:textId="18649943" w:rsidR="009C2ED7" w:rsidRPr="009C2ED7" w:rsidRDefault="009C2ED7" w:rsidP="009C2ED7">
      <w:pPr>
        <w:rPr>
          <w:rFonts w:cstheme="minorHAnsi"/>
        </w:rPr>
      </w:pPr>
      <w:r w:rsidRPr="009C2ED7">
        <w:rPr>
          <w:rFonts w:cstheme="minorHAnsi"/>
        </w:rPr>
        <w:t xml:space="preserve">This document reflects the security policy and governance obligations of </w:t>
      </w:r>
      <w:r w:rsidRPr="00DD7B31">
        <w:rPr>
          <w:rFonts w:cstheme="minorHAnsi"/>
          <w:highlight w:val="yellow"/>
        </w:rPr>
        <w:t>[</w:t>
      </w:r>
      <w:r w:rsidR="00DD7B31" w:rsidRPr="00DD7B31">
        <w:rPr>
          <w:rFonts w:cstheme="minorHAnsi"/>
          <w:highlight w:val="yellow"/>
        </w:rPr>
        <w:t>Council</w:t>
      </w:r>
      <w:r w:rsidRPr="00DD7B31">
        <w:rPr>
          <w:rFonts w:cstheme="minorHAnsi"/>
          <w:highlight w:val="yellow"/>
        </w:rPr>
        <w:t>]</w:t>
      </w:r>
      <w:r w:rsidRPr="009C2ED7">
        <w:rPr>
          <w:rFonts w:cstheme="minorHAnsi"/>
        </w:rPr>
        <w:t xml:space="preserve">. This policy provides a set of minimum security requirements for </w:t>
      </w:r>
      <w:r w:rsidRPr="00DD7B31">
        <w:rPr>
          <w:rFonts w:cstheme="minorHAnsi"/>
          <w:highlight w:val="yellow"/>
        </w:rPr>
        <w:t>[</w:t>
      </w:r>
      <w:r w:rsidR="00DD7B31" w:rsidRPr="00DD7B31">
        <w:rPr>
          <w:rFonts w:cstheme="minorHAnsi"/>
          <w:highlight w:val="yellow"/>
        </w:rPr>
        <w:t>Council</w:t>
      </w:r>
      <w:r w:rsidRPr="00DD7B31">
        <w:rPr>
          <w:rFonts w:cstheme="minorHAnsi"/>
          <w:highlight w:val="yellow"/>
        </w:rPr>
        <w:t>]</w:t>
      </w:r>
      <w:r w:rsidRPr="009C2ED7">
        <w:rPr>
          <w:rFonts w:cstheme="minorHAnsi"/>
        </w:rPr>
        <w:t xml:space="preserve"> as directed by the </w:t>
      </w:r>
      <w:r w:rsidRPr="00DD7B31">
        <w:rPr>
          <w:rFonts w:cstheme="minorHAnsi"/>
          <w:highlight w:val="yellow"/>
        </w:rPr>
        <w:t xml:space="preserve">[Security </w:t>
      </w:r>
      <w:r w:rsidR="00DD7B31">
        <w:rPr>
          <w:rFonts w:cstheme="minorHAnsi"/>
          <w:highlight w:val="yellow"/>
        </w:rPr>
        <w:t>Working Group</w:t>
      </w:r>
      <w:r w:rsidRPr="00DD7B31">
        <w:rPr>
          <w:rFonts w:cstheme="minorHAnsi"/>
          <w:highlight w:val="yellow"/>
        </w:rPr>
        <w:t>]</w:t>
      </w:r>
      <w:r w:rsidRPr="009C2ED7">
        <w:rPr>
          <w:rFonts w:cstheme="minorHAnsi"/>
        </w:rPr>
        <w:t xml:space="preserve"> to manage </w:t>
      </w:r>
      <w:r w:rsidR="00B30741">
        <w:rPr>
          <w:rFonts w:cstheme="minorHAnsi"/>
        </w:rPr>
        <w:t>security</w:t>
      </w:r>
      <w:r w:rsidRPr="009C2ED7">
        <w:rPr>
          <w:rFonts w:cstheme="minorHAnsi"/>
        </w:rPr>
        <w:t xml:space="preserve"> risks to the </w:t>
      </w:r>
      <w:r w:rsidR="00DD7B31">
        <w:rPr>
          <w:rFonts w:cstheme="minorHAnsi"/>
        </w:rPr>
        <w:t>Council</w:t>
      </w:r>
      <w:r w:rsidRPr="009C2ED7">
        <w:rPr>
          <w:rFonts w:cstheme="minorHAnsi"/>
        </w:rPr>
        <w:t xml:space="preserve">’s operations and its information assets. </w:t>
      </w:r>
      <w:r w:rsidRPr="00DD7B31">
        <w:rPr>
          <w:rFonts w:cstheme="minorHAnsi"/>
          <w:highlight w:val="yellow"/>
        </w:rPr>
        <w:t>[</w:t>
      </w:r>
      <w:r w:rsidR="00DD7B31" w:rsidRPr="00DD7B31">
        <w:rPr>
          <w:rFonts w:cstheme="minorHAnsi"/>
          <w:highlight w:val="yellow"/>
        </w:rPr>
        <w:t>Council</w:t>
      </w:r>
      <w:r w:rsidRPr="00DD7B31">
        <w:rPr>
          <w:rFonts w:cstheme="minorHAnsi"/>
          <w:highlight w:val="yellow"/>
        </w:rPr>
        <w:t>]</w:t>
      </w:r>
      <w:r w:rsidRPr="009C2ED7">
        <w:rPr>
          <w:rFonts w:cstheme="minorHAnsi"/>
        </w:rPr>
        <w:t xml:space="preserve"> will develop and publish </w:t>
      </w:r>
      <w:r w:rsidRPr="00DD7B31">
        <w:rPr>
          <w:rFonts w:cstheme="minorHAnsi"/>
          <w:highlight w:val="yellow"/>
        </w:rPr>
        <w:t xml:space="preserve">[policies, </w:t>
      </w:r>
      <w:proofErr w:type="gramStart"/>
      <w:r w:rsidRPr="00DD7B31">
        <w:rPr>
          <w:rFonts w:cstheme="minorHAnsi"/>
          <w:highlight w:val="yellow"/>
        </w:rPr>
        <w:t>procedures</w:t>
      </w:r>
      <w:proofErr w:type="gramEnd"/>
      <w:r w:rsidRPr="00DD7B31">
        <w:rPr>
          <w:rFonts w:cstheme="minorHAnsi"/>
          <w:highlight w:val="yellow"/>
        </w:rPr>
        <w:t xml:space="preserve"> and processes]</w:t>
      </w:r>
      <w:r w:rsidRPr="009C2ED7">
        <w:rPr>
          <w:rFonts w:cstheme="minorHAnsi"/>
        </w:rPr>
        <w:t xml:space="preserve"> to support compliance and operation of the </w:t>
      </w:r>
      <w:r w:rsidR="00DD7B31">
        <w:rPr>
          <w:rFonts w:cstheme="minorHAnsi"/>
        </w:rPr>
        <w:t>Council</w:t>
      </w:r>
      <w:r w:rsidRPr="009C2ED7">
        <w:rPr>
          <w:rFonts w:cstheme="minorHAnsi"/>
        </w:rPr>
        <w:t xml:space="preserve">’s security program in accordance with the </w:t>
      </w:r>
      <w:r w:rsidR="00DD7B31">
        <w:rPr>
          <w:rFonts w:cstheme="minorHAnsi"/>
        </w:rPr>
        <w:t>LGSF</w:t>
      </w:r>
      <w:r w:rsidRPr="009C2ED7">
        <w:rPr>
          <w:rFonts w:cstheme="minorHAnsi"/>
        </w:rPr>
        <w:t xml:space="preserve">. </w:t>
      </w:r>
    </w:p>
    <w:p w14:paraId="62528335" w14:textId="3D543F49" w:rsidR="009C2ED7" w:rsidRPr="009C2ED7" w:rsidRDefault="009C2ED7" w:rsidP="009C2ED7">
      <w:pPr>
        <w:rPr>
          <w:rFonts w:cstheme="minorHAnsi"/>
        </w:rPr>
      </w:pPr>
      <w:r w:rsidRPr="009C2ED7">
        <w:rPr>
          <w:rFonts w:cstheme="minorHAnsi"/>
        </w:rPr>
        <w:t xml:space="preserve">Compliance with the </w:t>
      </w:r>
      <w:r w:rsidR="00DD7B31">
        <w:rPr>
          <w:rFonts w:cstheme="minorHAnsi"/>
        </w:rPr>
        <w:t>LGSF</w:t>
      </w:r>
      <w:r w:rsidRPr="009C2ED7">
        <w:rPr>
          <w:rFonts w:cstheme="minorHAnsi"/>
        </w:rPr>
        <w:t xml:space="preserve"> and the </w:t>
      </w:r>
      <w:r w:rsidR="00DD7B31">
        <w:rPr>
          <w:rFonts w:cstheme="minorHAnsi"/>
        </w:rPr>
        <w:t>Council</w:t>
      </w:r>
      <w:r w:rsidRPr="009C2ED7">
        <w:rPr>
          <w:rFonts w:cstheme="minorHAnsi"/>
        </w:rPr>
        <w:t xml:space="preserve">’s suite of security policies, practices and procedures is mandatory.  </w:t>
      </w:r>
    </w:p>
    <w:p w14:paraId="12808683" w14:textId="1E890EE1" w:rsidR="009C2ED7" w:rsidRPr="009C2ED7" w:rsidRDefault="009C2ED7" w:rsidP="009C2ED7">
      <w:pPr>
        <w:rPr>
          <w:rFonts w:cstheme="minorHAnsi"/>
        </w:rPr>
      </w:pPr>
      <w:r w:rsidRPr="009C2ED7">
        <w:rPr>
          <w:rFonts w:cstheme="minorHAnsi"/>
        </w:rPr>
        <w:t xml:space="preserve">This policy applies to all aspects of security </w:t>
      </w:r>
      <w:r w:rsidR="00B30741">
        <w:rPr>
          <w:rFonts w:cstheme="minorHAnsi"/>
        </w:rPr>
        <w:t xml:space="preserve">risk </w:t>
      </w:r>
      <w:r w:rsidRPr="009C2ED7">
        <w:rPr>
          <w:rFonts w:cstheme="minorHAnsi"/>
        </w:rPr>
        <w:t xml:space="preserve">within </w:t>
      </w:r>
      <w:r w:rsidRPr="00B30741">
        <w:rPr>
          <w:rFonts w:cstheme="minorHAnsi"/>
          <w:highlight w:val="yellow"/>
        </w:rPr>
        <w:t>[</w:t>
      </w:r>
      <w:r w:rsidR="00DD7B31" w:rsidRPr="00B30741">
        <w:rPr>
          <w:rFonts w:cstheme="minorHAnsi"/>
          <w:highlight w:val="yellow"/>
        </w:rPr>
        <w:t>Council</w:t>
      </w:r>
      <w:r w:rsidRPr="00B30741">
        <w:rPr>
          <w:rFonts w:cstheme="minorHAnsi"/>
          <w:highlight w:val="yellow"/>
        </w:rPr>
        <w:t>]</w:t>
      </w:r>
      <w:r w:rsidRPr="009C2ED7">
        <w:rPr>
          <w:rFonts w:cstheme="minorHAnsi"/>
        </w:rPr>
        <w:t xml:space="preserve">. </w:t>
      </w:r>
    </w:p>
    <w:p w14:paraId="67B50589" w14:textId="59490403" w:rsidR="009C2ED7" w:rsidRPr="009C2ED7" w:rsidRDefault="00441918" w:rsidP="00D55838">
      <w:pPr>
        <w:pStyle w:val="Heading2"/>
      </w:pPr>
      <w:bookmarkStart w:id="5" w:name="_Toc101873623"/>
      <w:r>
        <w:t>Local Government Security Toolkit Tier</w:t>
      </w:r>
      <w:bookmarkEnd w:id="5"/>
    </w:p>
    <w:p w14:paraId="7DF7A890" w14:textId="65D513D2" w:rsidR="00046403" w:rsidRDefault="009C2ED7" w:rsidP="009C2ED7">
      <w:pPr>
        <w:rPr>
          <w:rFonts w:cstheme="minorHAnsi"/>
        </w:rPr>
      </w:pPr>
      <w:r w:rsidRPr="00B30741">
        <w:rPr>
          <w:rFonts w:cstheme="minorHAnsi"/>
          <w:highlight w:val="yellow"/>
        </w:rPr>
        <w:t>[</w:t>
      </w:r>
      <w:r w:rsidR="00DD7B31" w:rsidRPr="00B30741">
        <w:rPr>
          <w:rFonts w:cstheme="minorHAnsi"/>
          <w:highlight w:val="yellow"/>
        </w:rPr>
        <w:t>Council</w:t>
      </w:r>
      <w:r w:rsidRPr="00B30741">
        <w:rPr>
          <w:rFonts w:cstheme="minorHAnsi"/>
          <w:highlight w:val="yellow"/>
        </w:rPr>
        <w:t>]</w:t>
      </w:r>
      <w:r w:rsidRPr="009C2ED7">
        <w:rPr>
          <w:rFonts w:cstheme="minorHAnsi"/>
        </w:rPr>
        <w:t xml:space="preserve"> has determined that it is a tier </w:t>
      </w:r>
      <w:r w:rsidRPr="00B30741">
        <w:rPr>
          <w:rFonts w:cstheme="minorHAnsi"/>
          <w:highlight w:val="yellow"/>
        </w:rPr>
        <w:t>[one/two/three]</w:t>
      </w:r>
      <w:r w:rsidRPr="009C2ED7">
        <w:rPr>
          <w:rFonts w:cstheme="minorHAnsi"/>
        </w:rPr>
        <w:t xml:space="preserve"> </w:t>
      </w:r>
      <w:r w:rsidR="00DD7B31">
        <w:rPr>
          <w:rFonts w:cstheme="minorHAnsi"/>
        </w:rPr>
        <w:t>Council</w:t>
      </w:r>
      <w:r w:rsidRPr="009C2ED7">
        <w:rPr>
          <w:rFonts w:cstheme="minorHAnsi"/>
        </w:rPr>
        <w:t xml:space="preserve"> as per the </w:t>
      </w:r>
      <w:r w:rsidR="00B30741">
        <w:rPr>
          <w:rFonts w:cstheme="minorHAnsi"/>
        </w:rPr>
        <w:t>LGSF</w:t>
      </w:r>
      <w:r w:rsidRPr="009C2ED7">
        <w:rPr>
          <w:rFonts w:cstheme="minorHAnsi"/>
        </w:rPr>
        <w:t xml:space="preserve"> and will manage</w:t>
      </w:r>
      <w:r w:rsidR="00B30741">
        <w:rPr>
          <w:rFonts w:cstheme="minorHAnsi"/>
        </w:rPr>
        <w:t xml:space="preserve"> </w:t>
      </w:r>
      <w:r w:rsidRPr="009C2ED7">
        <w:rPr>
          <w:rFonts w:cstheme="minorHAnsi"/>
        </w:rPr>
        <w:t>security risks accordingly.</w:t>
      </w:r>
    </w:p>
    <w:p w14:paraId="3C9EF635" w14:textId="77777777" w:rsidR="00307E8F" w:rsidRDefault="00307E8F">
      <w:pPr>
        <w:rPr>
          <w:b/>
          <w:bCs/>
          <w:sz w:val="28"/>
          <w:szCs w:val="28"/>
        </w:rPr>
      </w:pPr>
      <w:r>
        <w:br w:type="page"/>
      </w:r>
    </w:p>
    <w:p w14:paraId="10DA63E2" w14:textId="6128675C" w:rsidR="00307E8F" w:rsidRPr="00307E8F" w:rsidRDefault="00307E8F" w:rsidP="00307E8F">
      <w:pPr>
        <w:pStyle w:val="Heading2"/>
      </w:pPr>
      <w:bookmarkStart w:id="6" w:name="_Toc101873624"/>
      <w:r>
        <w:lastRenderedPageBreak/>
        <w:t>Security Objectives</w:t>
      </w:r>
      <w:bookmarkEnd w:id="6"/>
    </w:p>
    <w:p w14:paraId="253690F9" w14:textId="1FBC2922" w:rsidR="00307E8F" w:rsidRPr="00307E8F" w:rsidRDefault="00307E8F" w:rsidP="00307E8F">
      <w:pPr>
        <w:rPr>
          <w:rStyle w:val="SubtleEmphasis"/>
        </w:rPr>
      </w:pPr>
      <w:r w:rsidRPr="00307E8F">
        <w:rPr>
          <w:rStyle w:val="SubtleEmphasis"/>
        </w:rPr>
        <w:t xml:space="preserve">[Outline the security objectives of the </w:t>
      </w:r>
      <w:r w:rsidR="00DD7B31">
        <w:rPr>
          <w:rStyle w:val="SubtleEmphasis"/>
        </w:rPr>
        <w:t>Council</w:t>
      </w:r>
      <w:r w:rsidRPr="00307E8F">
        <w:rPr>
          <w:rStyle w:val="SubtleEmphasis"/>
        </w:rPr>
        <w:t>. Examples could include those shown below]</w:t>
      </w:r>
    </w:p>
    <w:p w14:paraId="396458F4" w14:textId="17D6959B" w:rsidR="00307E8F" w:rsidRPr="00307E8F" w:rsidRDefault="00307E8F" w:rsidP="00307E8F">
      <w:r w:rsidRPr="00307E8F">
        <w:t xml:space="preserve">This policy supports the following security objectives of </w:t>
      </w:r>
      <w:r w:rsidR="00B30741" w:rsidRPr="00B30741">
        <w:rPr>
          <w:rFonts w:cstheme="minorHAnsi"/>
          <w:highlight w:val="yellow"/>
        </w:rPr>
        <w:t>[Council]</w:t>
      </w:r>
      <w:r w:rsidRPr="00307E8F">
        <w:t>:</w:t>
      </w:r>
    </w:p>
    <w:p w14:paraId="59B560D4" w14:textId="1D042E1F" w:rsidR="00307E8F" w:rsidRPr="00B30741" w:rsidRDefault="00307E8F" w:rsidP="00307E8F">
      <w:pPr>
        <w:pStyle w:val="ListParagraph"/>
        <w:rPr>
          <w:i/>
          <w:iCs/>
          <w:color w:val="404040" w:themeColor="text1" w:themeTint="BF"/>
        </w:rPr>
      </w:pPr>
      <w:r w:rsidRPr="00B30741">
        <w:rPr>
          <w:i/>
          <w:iCs/>
          <w:color w:val="404040" w:themeColor="text1" w:themeTint="BF"/>
        </w:rPr>
        <w:t xml:space="preserve">Implement effective security controls to ensure adequate protection of sensitive information that has been entrusted to </w:t>
      </w:r>
      <w:r w:rsidR="00B30741" w:rsidRPr="00B30741">
        <w:rPr>
          <w:rFonts w:cstheme="minorHAnsi"/>
          <w:i/>
          <w:iCs/>
          <w:color w:val="404040" w:themeColor="text1" w:themeTint="BF"/>
          <w:highlight w:val="yellow"/>
        </w:rPr>
        <w:t>[Council]</w:t>
      </w:r>
      <w:r w:rsidRPr="00B30741">
        <w:rPr>
          <w:i/>
          <w:iCs/>
          <w:color w:val="404040" w:themeColor="text1" w:themeTint="BF"/>
        </w:rPr>
        <w:t>;</w:t>
      </w:r>
    </w:p>
    <w:p w14:paraId="1E509D34" w14:textId="7E92C52B" w:rsidR="00307E8F" w:rsidRPr="00B30741" w:rsidRDefault="00307E8F" w:rsidP="00307E8F">
      <w:pPr>
        <w:pStyle w:val="ListParagraph"/>
        <w:rPr>
          <w:i/>
          <w:iCs/>
          <w:color w:val="404040" w:themeColor="text1" w:themeTint="BF"/>
        </w:rPr>
      </w:pPr>
      <w:r w:rsidRPr="00B30741">
        <w:rPr>
          <w:i/>
          <w:iCs/>
          <w:color w:val="404040" w:themeColor="text1" w:themeTint="BF"/>
        </w:rPr>
        <w:t xml:space="preserve">Uphold the good reputation of </w:t>
      </w:r>
      <w:r w:rsidR="00B30741" w:rsidRPr="00B30741">
        <w:rPr>
          <w:rFonts w:cstheme="minorHAnsi"/>
          <w:i/>
          <w:iCs/>
          <w:color w:val="404040" w:themeColor="text1" w:themeTint="BF"/>
          <w:highlight w:val="yellow"/>
        </w:rPr>
        <w:t>[Council]</w:t>
      </w:r>
      <w:r w:rsidRPr="00B30741">
        <w:rPr>
          <w:i/>
          <w:iCs/>
          <w:color w:val="404040" w:themeColor="text1" w:themeTint="BF"/>
        </w:rPr>
        <w:t xml:space="preserve"> and the broader </w:t>
      </w:r>
      <w:r w:rsidR="00B30741" w:rsidRPr="00B30741">
        <w:rPr>
          <w:i/>
          <w:iCs/>
          <w:color w:val="404040" w:themeColor="text1" w:themeTint="BF"/>
        </w:rPr>
        <w:t>Local</w:t>
      </w:r>
      <w:r w:rsidRPr="00B30741">
        <w:rPr>
          <w:i/>
          <w:iCs/>
          <w:color w:val="404040" w:themeColor="text1" w:themeTint="BF"/>
        </w:rPr>
        <w:t xml:space="preserve"> Government</w:t>
      </w:r>
      <w:r w:rsidR="00B30741" w:rsidRPr="00B30741">
        <w:rPr>
          <w:i/>
          <w:iCs/>
          <w:color w:val="404040" w:themeColor="text1" w:themeTint="BF"/>
        </w:rPr>
        <w:t xml:space="preserve"> group</w:t>
      </w:r>
      <w:r w:rsidRPr="00B30741">
        <w:rPr>
          <w:i/>
          <w:iCs/>
          <w:color w:val="404040" w:themeColor="text1" w:themeTint="BF"/>
        </w:rPr>
        <w:t>;</w:t>
      </w:r>
    </w:p>
    <w:p w14:paraId="15AB94DB" w14:textId="2E278F6F" w:rsidR="00307E8F" w:rsidRPr="00B30741" w:rsidRDefault="00307E8F" w:rsidP="00307E8F">
      <w:pPr>
        <w:pStyle w:val="ListParagraph"/>
        <w:rPr>
          <w:i/>
          <w:iCs/>
          <w:color w:val="404040" w:themeColor="text1" w:themeTint="BF"/>
        </w:rPr>
      </w:pPr>
      <w:r w:rsidRPr="00B30741">
        <w:rPr>
          <w:i/>
          <w:iCs/>
          <w:color w:val="404040" w:themeColor="text1" w:themeTint="BF"/>
        </w:rPr>
        <w:t xml:space="preserve">Demonstrate implementation of security risk management practices in alignment with the </w:t>
      </w:r>
      <w:r w:rsidR="00B30741" w:rsidRPr="00B30741">
        <w:rPr>
          <w:i/>
          <w:iCs/>
          <w:color w:val="404040" w:themeColor="text1" w:themeTint="BF"/>
        </w:rPr>
        <w:t>LGST</w:t>
      </w:r>
      <w:r w:rsidRPr="00B30741">
        <w:rPr>
          <w:i/>
          <w:iCs/>
          <w:color w:val="404040" w:themeColor="text1" w:themeTint="BF"/>
        </w:rPr>
        <w:t>;</w:t>
      </w:r>
    </w:p>
    <w:p w14:paraId="727A5B8A" w14:textId="1B29543E" w:rsidR="00307E8F" w:rsidRPr="00B30741" w:rsidRDefault="00307E8F" w:rsidP="00307E8F">
      <w:pPr>
        <w:pStyle w:val="ListParagraph"/>
        <w:rPr>
          <w:i/>
          <w:iCs/>
          <w:color w:val="404040" w:themeColor="text1" w:themeTint="BF"/>
        </w:rPr>
      </w:pPr>
      <w:r w:rsidRPr="00B30741">
        <w:rPr>
          <w:i/>
          <w:iCs/>
          <w:color w:val="404040" w:themeColor="text1" w:themeTint="BF"/>
        </w:rPr>
        <w:t xml:space="preserve">Promote a structured and consistent approach to security </w:t>
      </w:r>
      <w:r w:rsidR="00B30741" w:rsidRPr="00B30741">
        <w:rPr>
          <w:i/>
          <w:iCs/>
          <w:color w:val="404040" w:themeColor="text1" w:themeTint="BF"/>
        </w:rPr>
        <w:t xml:space="preserve">risk </w:t>
      </w:r>
      <w:r w:rsidRPr="00B30741">
        <w:rPr>
          <w:i/>
          <w:iCs/>
          <w:color w:val="404040" w:themeColor="text1" w:themeTint="BF"/>
        </w:rPr>
        <w:t xml:space="preserve">management that spans the many business units of </w:t>
      </w:r>
      <w:r w:rsidR="00B30741" w:rsidRPr="00B30741">
        <w:rPr>
          <w:rFonts w:cstheme="minorHAnsi"/>
          <w:i/>
          <w:iCs/>
          <w:color w:val="404040" w:themeColor="text1" w:themeTint="BF"/>
          <w:highlight w:val="yellow"/>
        </w:rPr>
        <w:t>[Council]</w:t>
      </w:r>
      <w:r w:rsidRPr="00B30741">
        <w:rPr>
          <w:i/>
          <w:iCs/>
          <w:color w:val="404040" w:themeColor="text1" w:themeTint="BF"/>
        </w:rPr>
        <w:t>;</w:t>
      </w:r>
    </w:p>
    <w:p w14:paraId="5B16AFFF" w14:textId="3D15A4EB" w:rsidR="00307E8F" w:rsidRPr="00B30741" w:rsidRDefault="00307E8F" w:rsidP="00307E8F">
      <w:pPr>
        <w:pStyle w:val="ListParagraph"/>
        <w:rPr>
          <w:i/>
          <w:iCs/>
          <w:color w:val="404040" w:themeColor="text1" w:themeTint="BF"/>
        </w:rPr>
      </w:pPr>
      <w:r w:rsidRPr="00B30741">
        <w:rPr>
          <w:i/>
          <w:iCs/>
          <w:color w:val="404040" w:themeColor="text1" w:themeTint="BF"/>
        </w:rPr>
        <w:t xml:space="preserve">Maintain the confidentiality, integrity, and availability of information assets in compliance with policy, legal and regulatory requirements; </w:t>
      </w:r>
    </w:p>
    <w:p w14:paraId="106AB503" w14:textId="680C3257" w:rsidR="00307E8F" w:rsidRPr="00B30741" w:rsidRDefault="00307E8F" w:rsidP="00307E8F">
      <w:pPr>
        <w:pStyle w:val="ListParagraph"/>
        <w:rPr>
          <w:i/>
          <w:iCs/>
          <w:color w:val="404040" w:themeColor="text1" w:themeTint="BF"/>
        </w:rPr>
      </w:pPr>
      <w:r w:rsidRPr="00B30741">
        <w:rPr>
          <w:i/>
          <w:iCs/>
          <w:color w:val="404040" w:themeColor="text1" w:themeTint="BF"/>
        </w:rPr>
        <w:t>Create a culture of high security awareness amongst all staff;</w:t>
      </w:r>
    </w:p>
    <w:p w14:paraId="68AEF2BA" w14:textId="514676F1" w:rsidR="00307E8F" w:rsidRPr="00B30741" w:rsidRDefault="00307E8F" w:rsidP="00307E8F">
      <w:pPr>
        <w:pStyle w:val="ListParagraph"/>
        <w:rPr>
          <w:i/>
          <w:iCs/>
          <w:color w:val="404040" w:themeColor="text1" w:themeTint="BF"/>
        </w:rPr>
      </w:pPr>
      <w:r w:rsidRPr="00B30741">
        <w:rPr>
          <w:i/>
          <w:iCs/>
          <w:color w:val="404040" w:themeColor="text1" w:themeTint="BF"/>
        </w:rPr>
        <w:t>Monitor systems and investigate detected security breaches and weaknesses;</w:t>
      </w:r>
    </w:p>
    <w:p w14:paraId="1AA2C415" w14:textId="73A58143" w:rsidR="00307E8F" w:rsidRPr="00B30741" w:rsidRDefault="00307E8F" w:rsidP="00307E8F">
      <w:pPr>
        <w:pStyle w:val="ListParagraph"/>
        <w:rPr>
          <w:i/>
          <w:iCs/>
          <w:color w:val="404040" w:themeColor="text1" w:themeTint="BF"/>
        </w:rPr>
      </w:pPr>
      <w:r w:rsidRPr="00B30741">
        <w:rPr>
          <w:i/>
          <w:iCs/>
          <w:color w:val="404040" w:themeColor="text1" w:themeTint="BF"/>
        </w:rPr>
        <w:tab/>
        <w:t>Ensure the confidence of the community and interested parties of the security of their information whether in storage, processing, or transmission;</w:t>
      </w:r>
    </w:p>
    <w:p w14:paraId="71490C6D" w14:textId="68C5C8D9" w:rsidR="00307E8F" w:rsidRPr="00B30741" w:rsidRDefault="00307E8F" w:rsidP="00307E8F">
      <w:pPr>
        <w:pStyle w:val="ListParagraph"/>
        <w:rPr>
          <w:i/>
          <w:iCs/>
          <w:color w:val="404040" w:themeColor="text1" w:themeTint="BF"/>
        </w:rPr>
      </w:pPr>
      <w:r w:rsidRPr="00B30741">
        <w:rPr>
          <w:i/>
          <w:iCs/>
          <w:color w:val="404040" w:themeColor="text1" w:themeTint="BF"/>
        </w:rPr>
        <w:tab/>
        <w:t xml:space="preserve">Provide assurance to the </w:t>
      </w:r>
      <w:r w:rsidR="00B30741" w:rsidRPr="00B30741">
        <w:rPr>
          <w:i/>
          <w:iCs/>
          <w:color w:val="404040" w:themeColor="text1" w:themeTint="BF"/>
        </w:rPr>
        <w:t>community</w:t>
      </w:r>
      <w:r w:rsidRPr="00B30741">
        <w:rPr>
          <w:i/>
          <w:iCs/>
          <w:color w:val="404040" w:themeColor="text1" w:themeTint="BF"/>
        </w:rPr>
        <w:t xml:space="preserve"> and other interested parties of the security of their information entrusted to </w:t>
      </w:r>
      <w:r w:rsidR="00B30741" w:rsidRPr="00B30741">
        <w:rPr>
          <w:rFonts w:cstheme="minorHAnsi"/>
          <w:i/>
          <w:iCs/>
          <w:color w:val="404040" w:themeColor="text1" w:themeTint="BF"/>
          <w:highlight w:val="yellow"/>
        </w:rPr>
        <w:t>[Council]</w:t>
      </w:r>
      <w:r w:rsidRPr="00B30741">
        <w:rPr>
          <w:i/>
          <w:iCs/>
          <w:color w:val="404040" w:themeColor="text1" w:themeTint="BF"/>
        </w:rPr>
        <w:t>;</w:t>
      </w:r>
    </w:p>
    <w:p w14:paraId="1A6EB7A6" w14:textId="3AB73DF8" w:rsidR="00307E8F" w:rsidRPr="00B30741" w:rsidRDefault="00307E8F" w:rsidP="00307E8F">
      <w:pPr>
        <w:pStyle w:val="ListParagraph"/>
        <w:rPr>
          <w:i/>
          <w:iCs/>
          <w:color w:val="404040" w:themeColor="text1" w:themeTint="BF"/>
        </w:rPr>
      </w:pPr>
      <w:r w:rsidRPr="00B30741">
        <w:rPr>
          <w:i/>
          <w:iCs/>
          <w:color w:val="404040" w:themeColor="text1" w:themeTint="BF"/>
        </w:rPr>
        <w:tab/>
        <w:t xml:space="preserve">Monitor and measure </w:t>
      </w:r>
      <w:r w:rsidR="00B30741" w:rsidRPr="00B30741">
        <w:rPr>
          <w:rFonts w:cstheme="minorHAnsi"/>
          <w:i/>
          <w:iCs/>
          <w:color w:val="404040" w:themeColor="text1" w:themeTint="BF"/>
          <w:highlight w:val="yellow"/>
        </w:rPr>
        <w:t>[Council]</w:t>
      </w:r>
      <w:r w:rsidRPr="00B30741">
        <w:rPr>
          <w:i/>
          <w:iCs/>
          <w:color w:val="404040" w:themeColor="text1" w:themeTint="BF"/>
        </w:rPr>
        <w:t xml:space="preserve">’s performance against security objectives to ensure commitment to the continual improvement of information security practices; </w:t>
      </w:r>
    </w:p>
    <w:p w14:paraId="24880D22" w14:textId="27F134F3" w:rsidR="00307E8F" w:rsidRPr="00B30741" w:rsidRDefault="00307E8F" w:rsidP="00307E8F">
      <w:pPr>
        <w:pStyle w:val="ListParagraph"/>
        <w:rPr>
          <w:i/>
          <w:iCs/>
          <w:color w:val="404040" w:themeColor="text1" w:themeTint="BF"/>
        </w:rPr>
      </w:pPr>
      <w:r w:rsidRPr="00B30741">
        <w:rPr>
          <w:i/>
          <w:iCs/>
          <w:color w:val="404040" w:themeColor="text1" w:themeTint="BF"/>
        </w:rPr>
        <w:tab/>
        <w:t xml:space="preserve">Assign resources and responsibilities to provide a structured approach for identifying and managing information security risks; </w:t>
      </w:r>
    </w:p>
    <w:p w14:paraId="126CA32D" w14:textId="6B89177B" w:rsidR="00307E8F" w:rsidRPr="00B30741" w:rsidRDefault="00307E8F" w:rsidP="00307E8F">
      <w:pPr>
        <w:pStyle w:val="ListParagraph"/>
        <w:rPr>
          <w:i/>
          <w:iCs/>
          <w:color w:val="404040" w:themeColor="text1" w:themeTint="BF"/>
        </w:rPr>
      </w:pPr>
      <w:r w:rsidRPr="00B30741">
        <w:rPr>
          <w:i/>
          <w:iCs/>
          <w:color w:val="404040" w:themeColor="text1" w:themeTint="BF"/>
        </w:rPr>
        <w:tab/>
        <w:t>Ensure the integrity of critical information; and</w:t>
      </w:r>
    </w:p>
    <w:p w14:paraId="7C5C3489" w14:textId="035DD4C9" w:rsidR="00BE22BC" w:rsidRPr="00B30741" w:rsidRDefault="00307E8F" w:rsidP="00307E8F">
      <w:pPr>
        <w:pStyle w:val="ListParagraph"/>
        <w:rPr>
          <w:i/>
          <w:iCs/>
          <w:color w:val="404040" w:themeColor="text1" w:themeTint="BF"/>
        </w:rPr>
      </w:pPr>
      <w:r w:rsidRPr="00B30741">
        <w:rPr>
          <w:i/>
          <w:iCs/>
          <w:color w:val="404040" w:themeColor="text1" w:themeTint="BF"/>
        </w:rPr>
        <w:tab/>
        <w:t>Align to the security requirements of key partners to ensure the ongoing viability of critical service delivery.</w:t>
      </w:r>
    </w:p>
    <w:p w14:paraId="731B8F85" w14:textId="4ABD6777" w:rsidR="00441918" w:rsidRPr="00BE22BC" w:rsidRDefault="00BE22BC" w:rsidP="00BE22BC">
      <w:pPr>
        <w:rPr>
          <w:rFonts w:ascii="Calibri" w:hAnsi="Calibri" w:cs="Calibri"/>
        </w:rPr>
      </w:pPr>
      <w:r>
        <w:br w:type="page"/>
      </w:r>
    </w:p>
    <w:p w14:paraId="5215B75F" w14:textId="7D355D67" w:rsidR="0041483B" w:rsidRDefault="0041483B" w:rsidP="00A34ED3">
      <w:pPr>
        <w:pStyle w:val="Heading1"/>
        <w:spacing w:before="240"/>
      </w:pPr>
      <w:bookmarkStart w:id="7" w:name="_Toc101873625"/>
      <w:r>
        <w:lastRenderedPageBreak/>
        <w:t>Security Program Scope</w:t>
      </w:r>
      <w:bookmarkEnd w:id="7"/>
    </w:p>
    <w:p w14:paraId="2628945A" w14:textId="65EAD492" w:rsidR="0041483B" w:rsidRDefault="0041483B" w:rsidP="0041483B">
      <w:pPr>
        <w:pStyle w:val="Heading2"/>
      </w:pPr>
      <w:bookmarkStart w:id="8" w:name="_Toc101873626"/>
      <w:r>
        <w:t>Scope Statement</w:t>
      </w:r>
      <w:bookmarkEnd w:id="8"/>
    </w:p>
    <w:p w14:paraId="4FA0EA8B" w14:textId="034D33E7" w:rsidR="0041483B" w:rsidRPr="00B30741" w:rsidRDefault="0041483B" w:rsidP="0041483B">
      <w:pPr>
        <w:rPr>
          <w:i/>
          <w:iCs/>
          <w:color w:val="404040" w:themeColor="text1" w:themeTint="BF"/>
        </w:rPr>
      </w:pPr>
      <w:r w:rsidRPr="00B30741">
        <w:rPr>
          <w:i/>
          <w:iCs/>
          <w:color w:val="404040" w:themeColor="text1" w:themeTint="BF"/>
        </w:rPr>
        <w:t xml:space="preserve">[Outline the scope of information and systems to be covered by the </w:t>
      </w:r>
      <w:r w:rsidR="00A33B70">
        <w:rPr>
          <w:i/>
          <w:iCs/>
          <w:color w:val="404040" w:themeColor="text1" w:themeTint="BF"/>
        </w:rPr>
        <w:t>security program</w:t>
      </w:r>
      <w:r w:rsidRPr="00B30741">
        <w:rPr>
          <w:i/>
          <w:iCs/>
          <w:color w:val="404040" w:themeColor="text1" w:themeTint="BF"/>
        </w:rPr>
        <w:t xml:space="preserve">. This should, at a minimum, cover the primary </w:t>
      </w:r>
      <w:r w:rsidR="00DD7B31" w:rsidRPr="00B30741">
        <w:rPr>
          <w:i/>
          <w:iCs/>
          <w:color w:val="404040" w:themeColor="text1" w:themeTint="BF"/>
        </w:rPr>
        <w:t>Council</w:t>
      </w:r>
      <w:r w:rsidRPr="00B30741">
        <w:rPr>
          <w:i/>
          <w:iCs/>
          <w:color w:val="404040" w:themeColor="text1" w:themeTint="BF"/>
        </w:rPr>
        <w:t xml:space="preserve"> functions. The scope should be succinctly described such that it can be clearly outlined in a single sentence. Examples of possible scope statements are shown below:] </w:t>
      </w:r>
    </w:p>
    <w:p w14:paraId="6B52B5CD" w14:textId="79D15D5B" w:rsidR="0041483B" w:rsidRDefault="0041483B" w:rsidP="0041483B">
      <w:r>
        <w:t xml:space="preserve">The scope of </w:t>
      </w:r>
      <w:r w:rsidR="00B30741" w:rsidRPr="00B30741">
        <w:rPr>
          <w:rFonts w:cstheme="minorHAnsi"/>
          <w:highlight w:val="yellow"/>
        </w:rPr>
        <w:t>[Council]</w:t>
      </w:r>
      <w:r>
        <w:t xml:space="preserve">’s </w:t>
      </w:r>
      <w:r w:rsidR="00A33B70">
        <w:t>Security Program</w:t>
      </w:r>
      <w:r>
        <w:t xml:space="preserve"> is: </w:t>
      </w:r>
    </w:p>
    <w:p w14:paraId="5F157B79" w14:textId="1621F13D" w:rsidR="0041483B" w:rsidRPr="002904F2" w:rsidRDefault="0041483B" w:rsidP="0041483B">
      <w:pPr>
        <w:pStyle w:val="ListParagraph"/>
        <w:rPr>
          <w:i/>
          <w:iCs/>
          <w:color w:val="404040" w:themeColor="text1" w:themeTint="BF"/>
        </w:rPr>
      </w:pPr>
      <w:r w:rsidRPr="002904F2">
        <w:rPr>
          <w:i/>
          <w:iCs/>
          <w:color w:val="404040" w:themeColor="text1" w:themeTint="BF"/>
        </w:rPr>
        <w:t>All information and</w:t>
      </w:r>
      <w:r w:rsidR="00B30741" w:rsidRPr="002904F2">
        <w:rPr>
          <w:i/>
          <w:iCs/>
          <w:color w:val="404040" w:themeColor="text1" w:themeTint="BF"/>
        </w:rPr>
        <w:t xml:space="preserve"> information assets </w:t>
      </w:r>
      <w:r w:rsidRPr="002904F2">
        <w:rPr>
          <w:i/>
          <w:iCs/>
          <w:color w:val="404040" w:themeColor="text1" w:themeTint="BF"/>
        </w:rPr>
        <w:t xml:space="preserve">used in the delivery of the following </w:t>
      </w:r>
      <w:r w:rsidR="00B30741" w:rsidRPr="002904F2">
        <w:rPr>
          <w:rFonts w:cstheme="minorHAnsi"/>
          <w:i/>
          <w:iCs/>
          <w:color w:val="404040" w:themeColor="text1" w:themeTint="BF"/>
          <w:highlight w:val="yellow"/>
        </w:rPr>
        <w:t>[Council]</w:t>
      </w:r>
      <w:r w:rsidRPr="002904F2">
        <w:rPr>
          <w:i/>
          <w:iCs/>
          <w:color w:val="404040" w:themeColor="text1" w:themeTint="BF"/>
        </w:rPr>
        <w:t xml:space="preserve"> functions: </w:t>
      </w:r>
    </w:p>
    <w:p w14:paraId="562EB07D" w14:textId="43258555" w:rsidR="0041483B" w:rsidRPr="002904F2" w:rsidRDefault="0041483B" w:rsidP="00B30741">
      <w:pPr>
        <w:pStyle w:val="ListParagraph"/>
        <w:numPr>
          <w:ilvl w:val="1"/>
          <w:numId w:val="3"/>
        </w:numPr>
        <w:rPr>
          <w:i/>
          <w:iCs/>
          <w:color w:val="404040" w:themeColor="text1" w:themeTint="BF"/>
          <w:highlight w:val="yellow"/>
        </w:rPr>
      </w:pPr>
      <w:r w:rsidRPr="002904F2">
        <w:rPr>
          <w:i/>
          <w:iCs/>
          <w:color w:val="404040" w:themeColor="text1" w:themeTint="BF"/>
          <w:highlight w:val="yellow"/>
        </w:rPr>
        <w:t xml:space="preserve">xx </w:t>
      </w:r>
    </w:p>
    <w:p w14:paraId="58359BF4" w14:textId="655B9B27" w:rsidR="0041483B" w:rsidRPr="002904F2" w:rsidRDefault="0041483B" w:rsidP="00B30741">
      <w:pPr>
        <w:pStyle w:val="ListParagraph"/>
        <w:numPr>
          <w:ilvl w:val="1"/>
          <w:numId w:val="3"/>
        </w:numPr>
        <w:rPr>
          <w:i/>
          <w:iCs/>
          <w:color w:val="404040" w:themeColor="text1" w:themeTint="BF"/>
          <w:highlight w:val="yellow"/>
        </w:rPr>
      </w:pPr>
      <w:r w:rsidRPr="002904F2">
        <w:rPr>
          <w:i/>
          <w:iCs/>
          <w:color w:val="404040" w:themeColor="text1" w:themeTint="BF"/>
          <w:highlight w:val="yellow"/>
        </w:rPr>
        <w:t xml:space="preserve">xx </w:t>
      </w:r>
    </w:p>
    <w:p w14:paraId="1BACB2BD" w14:textId="3F964470" w:rsidR="0041483B" w:rsidRPr="002904F2" w:rsidRDefault="0041483B" w:rsidP="0041483B">
      <w:pPr>
        <w:pStyle w:val="ListParagraph"/>
        <w:rPr>
          <w:i/>
          <w:iCs/>
          <w:color w:val="404040" w:themeColor="text1" w:themeTint="BF"/>
        </w:rPr>
      </w:pPr>
      <w:r w:rsidRPr="002904F2">
        <w:rPr>
          <w:i/>
          <w:iCs/>
          <w:color w:val="404040" w:themeColor="text1" w:themeTint="BF"/>
        </w:rPr>
        <w:t xml:space="preserve">The development, operations, </w:t>
      </w:r>
      <w:proofErr w:type="gramStart"/>
      <w:r w:rsidRPr="002904F2">
        <w:rPr>
          <w:i/>
          <w:iCs/>
          <w:color w:val="404040" w:themeColor="text1" w:themeTint="BF"/>
        </w:rPr>
        <w:t>maintenance</w:t>
      </w:r>
      <w:proofErr w:type="gramEnd"/>
      <w:r w:rsidRPr="002904F2">
        <w:rPr>
          <w:i/>
          <w:iCs/>
          <w:color w:val="404040" w:themeColor="text1" w:themeTint="BF"/>
        </w:rPr>
        <w:t xml:space="preserve"> and support of </w:t>
      </w:r>
      <w:r w:rsidR="00B30741" w:rsidRPr="002904F2">
        <w:rPr>
          <w:rFonts w:cstheme="minorHAnsi"/>
          <w:i/>
          <w:iCs/>
          <w:color w:val="404040" w:themeColor="text1" w:themeTint="BF"/>
          <w:highlight w:val="yellow"/>
        </w:rPr>
        <w:t>[Council]</w:t>
      </w:r>
      <w:r w:rsidRPr="002904F2">
        <w:rPr>
          <w:i/>
          <w:iCs/>
          <w:color w:val="404040" w:themeColor="text1" w:themeTint="BF"/>
        </w:rPr>
        <w:t xml:space="preserve"> ICT infrastructure and the following primary applications. </w:t>
      </w:r>
    </w:p>
    <w:p w14:paraId="4B51C0FF" w14:textId="179214C6" w:rsidR="0041483B" w:rsidRPr="002904F2" w:rsidRDefault="0041483B" w:rsidP="0041483B">
      <w:pPr>
        <w:pStyle w:val="ListParagraph"/>
        <w:rPr>
          <w:i/>
          <w:iCs/>
          <w:color w:val="404040" w:themeColor="text1" w:themeTint="BF"/>
        </w:rPr>
      </w:pPr>
      <w:r w:rsidRPr="002904F2">
        <w:rPr>
          <w:i/>
          <w:iCs/>
          <w:color w:val="404040" w:themeColor="text1" w:themeTint="BF"/>
        </w:rPr>
        <w:t xml:space="preserve">All ICT assets that create, store, process or transmit information and all information transmitted over data communications networks. </w:t>
      </w:r>
    </w:p>
    <w:p w14:paraId="1A65C34A" w14:textId="08DA2C6D" w:rsidR="0041483B" w:rsidRPr="002904F2" w:rsidRDefault="0041483B" w:rsidP="0041483B">
      <w:pPr>
        <w:pStyle w:val="ListParagraph"/>
        <w:rPr>
          <w:i/>
          <w:iCs/>
          <w:color w:val="404040" w:themeColor="text1" w:themeTint="BF"/>
        </w:rPr>
      </w:pPr>
      <w:r w:rsidRPr="002904F2">
        <w:rPr>
          <w:i/>
          <w:iCs/>
          <w:color w:val="404040" w:themeColor="text1" w:themeTint="BF"/>
        </w:rPr>
        <w:t xml:space="preserve">All information processed, stored, and transmitted in delivering </w:t>
      </w:r>
      <w:r w:rsidRPr="002904F2">
        <w:rPr>
          <w:i/>
          <w:iCs/>
          <w:color w:val="404040" w:themeColor="text1" w:themeTint="BF"/>
          <w:highlight w:val="yellow"/>
        </w:rPr>
        <w:t>xxx</w:t>
      </w:r>
      <w:r w:rsidRPr="002904F2">
        <w:rPr>
          <w:i/>
          <w:iCs/>
          <w:color w:val="404040" w:themeColor="text1" w:themeTint="BF"/>
        </w:rPr>
        <w:t xml:space="preserve"> services. </w:t>
      </w:r>
    </w:p>
    <w:p w14:paraId="4D01C0C1" w14:textId="69C30A00" w:rsidR="0041483B" w:rsidRDefault="0041483B" w:rsidP="0041483B">
      <w:pPr>
        <w:pStyle w:val="Heading2"/>
      </w:pPr>
      <w:bookmarkStart w:id="9" w:name="_Toc101873627"/>
      <w:r>
        <w:t>Boundaries</w:t>
      </w:r>
      <w:bookmarkEnd w:id="9"/>
      <w:r>
        <w:t xml:space="preserve"> </w:t>
      </w:r>
    </w:p>
    <w:p w14:paraId="574C81E8" w14:textId="36235942" w:rsidR="0041483B" w:rsidRPr="00713249" w:rsidRDefault="0041483B" w:rsidP="0041483B">
      <w:pPr>
        <w:rPr>
          <w:i/>
          <w:iCs/>
          <w:color w:val="404040" w:themeColor="text1" w:themeTint="BF"/>
        </w:rPr>
      </w:pPr>
      <w:r w:rsidRPr="00713249">
        <w:rPr>
          <w:i/>
          <w:iCs/>
          <w:color w:val="404040" w:themeColor="text1" w:themeTint="BF"/>
        </w:rPr>
        <w:t xml:space="preserve">[Outline the physical locations that are to be covered by the </w:t>
      </w:r>
      <w:r w:rsidR="00A33B70">
        <w:rPr>
          <w:i/>
          <w:iCs/>
          <w:color w:val="404040" w:themeColor="text1" w:themeTint="BF"/>
        </w:rPr>
        <w:t>security program</w:t>
      </w:r>
      <w:r w:rsidRPr="00713249">
        <w:rPr>
          <w:i/>
          <w:iCs/>
          <w:color w:val="404040" w:themeColor="text1" w:themeTint="BF"/>
        </w:rPr>
        <w:t xml:space="preserve">.] </w:t>
      </w:r>
    </w:p>
    <w:p w14:paraId="2D207A4C" w14:textId="1FD293C7" w:rsidR="0041483B" w:rsidRDefault="0041483B" w:rsidP="0041483B">
      <w:r>
        <w:t xml:space="preserve">The physical boundaries of </w:t>
      </w:r>
      <w:r w:rsidRPr="00713249">
        <w:rPr>
          <w:highlight w:val="yellow"/>
        </w:rPr>
        <w:t>[</w:t>
      </w:r>
      <w:r w:rsidR="00DD7B31" w:rsidRPr="00713249">
        <w:rPr>
          <w:highlight w:val="yellow"/>
        </w:rPr>
        <w:t>Council</w:t>
      </w:r>
      <w:r w:rsidRPr="00713249">
        <w:rPr>
          <w:highlight w:val="yellow"/>
        </w:rPr>
        <w:t>]</w:t>
      </w:r>
      <w:r>
        <w:t xml:space="preserve">’s </w:t>
      </w:r>
      <w:r w:rsidR="00A33B70">
        <w:t>security program</w:t>
      </w:r>
      <w:r>
        <w:t xml:space="preserve"> are the premises located at: </w:t>
      </w:r>
    </w:p>
    <w:p w14:paraId="5200875B" w14:textId="4E2A25A9" w:rsidR="0041483B" w:rsidRPr="00713249" w:rsidRDefault="0041483B" w:rsidP="0041483B">
      <w:pPr>
        <w:pStyle w:val="ListParagraph"/>
        <w:rPr>
          <w:highlight w:val="yellow"/>
        </w:rPr>
      </w:pPr>
      <w:proofErr w:type="spellStart"/>
      <w:r w:rsidRPr="00713249">
        <w:rPr>
          <w:rStyle w:val="ListParagraphChar"/>
          <w:highlight w:val="yellow"/>
        </w:rPr>
        <w:t>Xx</w:t>
      </w:r>
      <w:r w:rsidR="00713249">
        <w:rPr>
          <w:highlight w:val="yellow"/>
        </w:rPr>
        <w:t>x</w:t>
      </w:r>
      <w:proofErr w:type="spellEnd"/>
    </w:p>
    <w:p w14:paraId="79558E6A" w14:textId="7A43DDEF" w:rsidR="0041483B" w:rsidRDefault="0041483B" w:rsidP="0041483B">
      <w:pPr>
        <w:pStyle w:val="Heading2"/>
      </w:pPr>
      <w:bookmarkStart w:id="10" w:name="_Toc101873628"/>
      <w:r>
        <w:t>Scope Exclusions</w:t>
      </w:r>
      <w:bookmarkEnd w:id="10"/>
    </w:p>
    <w:p w14:paraId="624568F9" w14:textId="4218D34C" w:rsidR="0041483B" w:rsidRPr="00713249" w:rsidRDefault="0041483B" w:rsidP="0041483B">
      <w:pPr>
        <w:rPr>
          <w:i/>
          <w:iCs/>
          <w:color w:val="404040" w:themeColor="text1" w:themeTint="BF"/>
        </w:rPr>
      </w:pPr>
      <w:r w:rsidRPr="00713249">
        <w:rPr>
          <w:i/>
          <w:iCs/>
          <w:color w:val="404040" w:themeColor="text1" w:themeTint="BF"/>
        </w:rPr>
        <w:t xml:space="preserve">[List any exclusions from the </w:t>
      </w:r>
      <w:r w:rsidR="00A33B70">
        <w:t>security program</w:t>
      </w:r>
      <w:r w:rsidRPr="00713249">
        <w:rPr>
          <w:i/>
          <w:iCs/>
          <w:color w:val="404040" w:themeColor="text1" w:themeTint="BF"/>
        </w:rPr>
        <w:t xml:space="preserve"> that need to be called out to remove any ambiguity from the scope statement above. Examples of possible exclusions are shown below:] </w:t>
      </w:r>
    </w:p>
    <w:p w14:paraId="1BD90B06" w14:textId="30CC1222" w:rsidR="0041483B" w:rsidRDefault="0041483B" w:rsidP="0041483B">
      <w:r>
        <w:t xml:space="preserve">The following is specifically excluded from the scope of the </w:t>
      </w:r>
      <w:r w:rsidR="00A33B70">
        <w:t>security program</w:t>
      </w:r>
      <w:r>
        <w:t xml:space="preserve">: </w:t>
      </w:r>
    </w:p>
    <w:p w14:paraId="3BCF8353" w14:textId="7F47AB1D" w:rsidR="00737E69" w:rsidRPr="00713249" w:rsidRDefault="00713249" w:rsidP="00713249">
      <w:pPr>
        <w:pStyle w:val="ListParagraph"/>
        <w:rPr>
          <w:highlight w:val="yellow"/>
        </w:rPr>
      </w:pPr>
      <w:r w:rsidRPr="00713249">
        <w:rPr>
          <w:highlight w:val="yellow"/>
        </w:rPr>
        <w:t>xxx</w:t>
      </w:r>
      <w:r w:rsidR="00F2728B" w:rsidRPr="00713249">
        <w:rPr>
          <w:highlight w:val="yellow"/>
        </w:rPr>
        <w:br w:type="page"/>
      </w:r>
    </w:p>
    <w:p w14:paraId="690BA25C" w14:textId="77777777" w:rsidR="007B3E3E" w:rsidRPr="007B3E3E" w:rsidRDefault="007B3E3E" w:rsidP="007B3E3E">
      <w:pPr>
        <w:pStyle w:val="Heading2"/>
      </w:pPr>
      <w:bookmarkStart w:id="11" w:name="_Toc95125367"/>
      <w:bookmarkStart w:id="12" w:name="_Toc101873629"/>
      <w:r w:rsidRPr="007B3E3E">
        <w:lastRenderedPageBreak/>
        <w:t>Interested Parties</w:t>
      </w:r>
      <w:bookmarkEnd w:id="11"/>
      <w:bookmarkEnd w:id="12"/>
    </w:p>
    <w:p w14:paraId="7E609875" w14:textId="7F07E849" w:rsidR="007B3E3E" w:rsidRPr="00713249" w:rsidRDefault="007B3E3E" w:rsidP="007B3E3E">
      <w:pPr>
        <w:rPr>
          <w:i/>
          <w:iCs/>
          <w:color w:val="404040" w:themeColor="text1" w:themeTint="BF"/>
        </w:rPr>
      </w:pPr>
      <w:r w:rsidRPr="00713249">
        <w:rPr>
          <w:i/>
          <w:iCs/>
          <w:color w:val="404040" w:themeColor="text1" w:themeTint="BF"/>
        </w:rPr>
        <w:t xml:space="preserve">[List any interested parties and describe why they require the </w:t>
      </w:r>
      <w:r w:rsidR="00DD7B31" w:rsidRPr="00713249">
        <w:rPr>
          <w:i/>
          <w:iCs/>
          <w:color w:val="404040" w:themeColor="text1" w:themeTint="BF"/>
        </w:rPr>
        <w:t>Council</w:t>
      </w:r>
      <w:r w:rsidRPr="00713249">
        <w:rPr>
          <w:i/>
          <w:iCs/>
          <w:color w:val="404040" w:themeColor="text1" w:themeTint="BF"/>
        </w:rPr>
        <w:t xml:space="preserve"> to have good security controls.] </w:t>
      </w:r>
    </w:p>
    <w:p w14:paraId="5AC5B611" w14:textId="01261FB2" w:rsidR="007B3E3E" w:rsidRPr="007B3E3E" w:rsidRDefault="007B3E3E" w:rsidP="007B3E3E">
      <w:r w:rsidRPr="007B3E3E">
        <w:t xml:space="preserve">The </w:t>
      </w:r>
      <w:r w:rsidR="00A33B70">
        <w:t>security program</w:t>
      </w:r>
      <w:r w:rsidRPr="007B3E3E">
        <w:t xml:space="preserve"> scope considers the following interested parties and their requirements.</w:t>
      </w:r>
    </w:p>
    <w:tbl>
      <w:tblPr>
        <w:tblStyle w:val="TableGrid"/>
        <w:tblW w:w="5000" w:type="pct"/>
        <w:tblLook w:val="04A0" w:firstRow="1" w:lastRow="0" w:firstColumn="1" w:lastColumn="0" w:noHBand="0" w:noVBand="1"/>
      </w:tblPr>
      <w:tblGrid>
        <w:gridCol w:w="2506"/>
        <w:gridCol w:w="6782"/>
      </w:tblGrid>
      <w:tr w:rsidR="007B3E3E" w:rsidRPr="007B3E3E" w14:paraId="05B8543D" w14:textId="77777777" w:rsidTr="007B3E3E">
        <w:trPr>
          <w:trHeight w:val="70"/>
        </w:trPr>
        <w:tc>
          <w:tcPr>
            <w:tcW w:w="1349" w:type="pct"/>
            <w:tcBorders>
              <w:bottom w:val="single" w:sz="4" w:space="0" w:color="auto"/>
            </w:tcBorders>
            <w:shd w:val="clear" w:color="auto" w:fill="002060"/>
            <w:vAlign w:val="center"/>
          </w:tcPr>
          <w:p w14:paraId="6DE683DD" w14:textId="77777777" w:rsidR="007B3E3E" w:rsidRPr="007B3E3E" w:rsidRDefault="007B3E3E" w:rsidP="007B3E3E">
            <w:pPr>
              <w:numPr>
                <w:ilvl w:val="0"/>
                <w:numId w:val="0"/>
              </w:numPr>
              <w:rPr>
                <w:b/>
                <w:bCs/>
              </w:rPr>
            </w:pPr>
            <w:r w:rsidRPr="007B3E3E">
              <w:rPr>
                <w:b/>
                <w:bCs/>
              </w:rPr>
              <w:t>Interested Party</w:t>
            </w:r>
          </w:p>
        </w:tc>
        <w:tc>
          <w:tcPr>
            <w:tcW w:w="3651" w:type="pct"/>
            <w:tcBorders>
              <w:bottom w:val="single" w:sz="4" w:space="0" w:color="auto"/>
            </w:tcBorders>
            <w:shd w:val="clear" w:color="auto" w:fill="002060"/>
            <w:vAlign w:val="center"/>
          </w:tcPr>
          <w:p w14:paraId="3F5D9F62" w14:textId="77777777" w:rsidR="007B3E3E" w:rsidRPr="007B3E3E" w:rsidRDefault="007B3E3E" w:rsidP="007B3E3E">
            <w:pPr>
              <w:numPr>
                <w:ilvl w:val="0"/>
                <w:numId w:val="0"/>
              </w:numPr>
              <w:rPr>
                <w:b/>
                <w:bCs/>
              </w:rPr>
            </w:pPr>
            <w:r w:rsidRPr="007B3E3E">
              <w:rPr>
                <w:b/>
                <w:bCs/>
              </w:rPr>
              <w:t>Requirements</w:t>
            </w:r>
            <w:r w:rsidRPr="007B3E3E">
              <w:rPr>
                <w:b/>
                <w:bCs/>
              </w:rPr>
              <w:tab/>
            </w:r>
          </w:p>
        </w:tc>
      </w:tr>
      <w:tr w:rsidR="007B3E3E" w:rsidRPr="007B3E3E" w14:paraId="1076E3E4" w14:textId="77777777" w:rsidTr="00377869">
        <w:trPr>
          <w:trHeight w:val="303"/>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0B844F47" w14:textId="77777777" w:rsidR="007B3E3E" w:rsidRPr="00145033" w:rsidRDefault="007B3E3E" w:rsidP="007B3E3E">
            <w:pPr>
              <w:numPr>
                <w:ilvl w:val="0"/>
                <w:numId w:val="0"/>
              </w:numPr>
              <w:rPr>
                <w:b/>
                <w:bCs/>
                <w:i/>
                <w:iCs/>
              </w:rPr>
            </w:pPr>
            <w:r w:rsidRPr="00145033">
              <w:rPr>
                <w:b/>
                <w:bCs/>
                <w:i/>
                <w:iCs/>
              </w:rPr>
              <w:t>The Board</w:t>
            </w:r>
          </w:p>
          <w:p w14:paraId="12A296E6" w14:textId="77777777" w:rsidR="007B3E3E" w:rsidRPr="00145033" w:rsidRDefault="007B3E3E" w:rsidP="007B3E3E">
            <w:pPr>
              <w:numPr>
                <w:ilvl w:val="0"/>
                <w:numId w:val="0"/>
              </w:numPr>
              <w:rPr>
                <w:b/>
                <w:bCs/>
                <w:i/>
                <w:iCs/>
              </w:rPr>
            </w:pPr>
            <w:r w:rsidRPr="00145033">
              <w:rPr>
                <w:b/>
                <w:bCs/>
                <w:i/>
                <w:iCs/>
              </w:rPr>
              <w:t>Executive Management</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0283AC55" w14:textId="3F0FE492" w:rsidR="007B3E3E" w:rsidRPr="007B3E3E" w:rsidRDefault="007B3E3E" w:rsidP="007B3E3E">
            <w:pPr>
              <w:numPr>
                <w:ilvl w:val="0"/>
                <w:numId w:val="0"/>
              </w:numPr>
            </w:pPr>
            <w:r w:rsidRPr="007B3E3E">
              <w:t xml:space="preserve">Confidence that appropriate governance arrangements are in place to manage security risks to ensure the strategic </w:t>
            </w:r>
            <w:r w:rsidR="002904F2">
              <w:t xml:space="preserve">security </w:t>
            </w:r>
            <w:r w:rsidRPr="007B3E3E">
              <w:t xml:space="preserve">objectives of </w:t>
            </w:r>
            <w:r w:rsidR="00713249" w:rsidRPr="00B30741">
              <w:rPr>
                <w:rFonts w:cstheme="minorHAnsi"/>
                <w:highlight w:val="yellow"/>
              </w:rPr>
              <w:t>[Council]</w:t>
            </w:r>
            <w:r w:rsidRPr="007B3E3E">
              <w:t xml:space="preserve"> are achieved and the reputation of the business is maintained. </w:t>
            </w:r>
          </w:p>
        </w:tc>
      </w:tr>
      <w:tr w:rsidR="002904F2" w:rsidRPr="007B3E3E" w14:paraId="31424A93" w14:textId="77777777" w:rsidTr="00377869">
        <w:trPr>
          <w:trHeight w:val="303"/>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32EB02C3" w14:textId="5B09EE53" w:rsidR="002904F2" w:rsidRPr="00145033" w:rsidRDefault="002904F2" w:rsidP="002904F2">
            <w:pPr>
              <w:numPr>
                <w:ilvl w:val="0"/>
                <w:numId w:val="0"/>
              </w:numPr>
              <w:rPr>
                <w:b/>
                <w:bCs/>
                <w:i/>
                <w:iCs/>
              </w:rPr>
            </w:pPr>
            <w:r w:rsidRPr="00145033">
              <w:rPr>
                <w:b/>
                <w:bCs/>
                <w:i/>
                <w:iCs/>
              </w:rPr>
              <w:t>South Australian community</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7CD5CDBA" w14:textId="150DCCB5" w:rsidR="002904F2" w:rsidRPr="007B3E3E" w:rsidRDefault="002904F2" w:rsidP="002904F2">
            <w:pPr>
              <w:numPr>
                <w:ilvl w:val="0"/>
                <w:numId w:val="0"/>
              </w:numPr>
            </w:pPr>
            <w:r w:rsidRPr="00B30741">
              <w:rPr>
                <w:rFonts w:cstheme="minorHAnsi"/>
                <w:highlight w:val="yellow"/>
              </w:rPr>
              <w:t>[Council]</w:t>
            </w:r>
            <w:r w:rsidRPr="007B3E3E">
              <w:t xml:space="preserve"> holds and processes personally identifiable information about South Australians. There is both legal requirement and expectation that this information will be appropriate protected and not disclosed without appropriate authority. </w:t>
            </w:r>
          </w:p>
        </w:tc>
      </w:tr>
      <w:tr w:rsidR="002904F2" w:rsidRPr="007B3E3E" w14:paraId="2CE74AA5" w14:textId="77777777" w:rsidTr="00377869">
        <w:trPr>
          <w:trHeight w:val="303"/>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594EBE67" w14:textId="77777777" w:rsidR="002904F2" w:rsidRPr="00145033" w:rsidRDefault="002904F2" w:rsidP="00A358D1">
            <w:pPr>
              <w:numPr>
                <w:ilvl w:val="0"/>
                <w:numId w:val="0"/>
              </w:numPr>
              <w:rPr>
                <w:b/>
                <w:bCs/>
                <w:i/>
                <w:iCs/>
              </w:rPr>
            </w:pPr>
            <w:r w:rsidRPr="00145033">
              <w:rPr>
                <w:b/>
                <w:bCs/>
                <w:i/>
                <w:iCs/>
              </w:rPr>
              <w:t>Commercial parties</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3CEB60A4" w14:textId="77777777" w:rsidR="002904F2" w:rsidRPr="007B3E3E" w:rsidRDefault="002904F2" w:rsidP="00A358D1">
            <w:pPr>
              <w:numPr>
                <w:ilvl w:val="0"/>
                <w:numId w:val="0"/>
              </w:numPr>
            </w:pPr>
            <w:r w:rsidRPr="007B3E3E">
              <w:t xml:space="preserve">Assurance that information provided in confidence as part of tenders or expressions of interest is secure and will not be disclosed without appropriate authority. </w:t>
            </w:r>
          </w:p>
        </w:tc>
      </w:tr>
      <w:tr w:rsidR="002904F2" w:rsidRPr="007B3E3E" w14:paraId="43A608B0" w14:textId="77777777" w:rsidTr="00377869">
        <w:trPr>
          <w:trHeight w:val="303"/>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3E6AEE57" w14:textId="77777777" w:rsidR="002904F2" w:rsidRPr="00145033" w:rsidRDefault="002904F2" w:rsidP="00A358D1">
            <w:pPr>
              <w:numPr>
                <w:ilvl w:val="0"/>
                <w:numId w:val="0"/>
              </w:numPr>
              <w:rPr>
                <w:b/>
                <w:bCs/>
                <w:i/>
                <w:iCs/>
              </w:rPr>
            </w:pPr>
            <w:r w:rsidRPr="00145033">
              <w:rPr>
                <w:b/>
                <w:bCs/>
                <w:i/>
                <w:iCs/>
              </w:rPr>
              <w:t>Government Authorities, Regulatory Bodies, and Funding Bodies</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27464EF5" w14:textId="77777777" w:rsidR="002904F2" w:rsidRPr="007B3E3E" w:rsidRDefault="002904F2" w:rsidP="00A358D1">
            <w:pPr>
              <w:numPr>
                <w:ilvl w:val="0"/>
                <w:numId w:val="0"/>
              </w:numPr>
              <w:spacing w:after="160"/>
            </w:pPr>
            <w:r w:rsidRPr="007B3E3E">
              <w:t>Confidence that</w:t>
            </w:r>
            <w:r>
              <w:t xml:space="preserve"> </w:t>
            </w:r>
            <w:r w:rsidRPr="00B30741">
              <w:rPr>
                <w:rFonts w:cstheme="minorHAnsi"/>
                <w:highlight w:val="yellow"/>
              </w:rPr>
              <w:t>[Council]</w:t>
            </w:r>
            <w:r w:rsidRPr="007B3E3E">
              <w:t xml:space="preserve"> has appropriate governance arrangements in place to follow both Federal and State level policies in relation to their funding requirements.</w:t>
            </w:r>
          </w:p>
          <w:p w14:paraId="4F4FCE31" w14:textId="77777777" w:rsidR="002904F2" w:rsidRPr="007B3E3E" w:rsidRDefault="002904F2" w:rsidP="00A358D1">
            <w:pPr>
              <w:numPr>
                <w:ilvl w:val="0"/>
                <w:numId w:val="0"/>
              </w:numPr>
            </w:pPr>
            <w:r w:rsidRPr="007B3E3E">
              <w:t>Confidence in the quality of regulatory reporting and compliance.</w:t>
            </w:r>
          </w:p>
        </w:tc>
      </w:tr>
      <w:tr w:rsidR="002904F2" w:rsidRPr="007B3E3E" w14:paraId="08BBE4A5" w14:textId="77777777" w:rsidTr="00377869">
        <w:trPr>
          <w:trHeight w:val="303"/>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53A82E70" w14:textId="77777777" w:rsidR="002904F2" w:rsidRPr="00145033" w:rsidRDefault="002904F2" w:rsidP="00A358D1">
            <w:pPr>
              <w:numPr>
                <w:ilvl w:val="0"/>
                <w:numId w:val="0"/>
              </w:numPr>
              <w:rPr>
                <w:b/>
                <w:bCs/>
                <w:i/>
                <w:iCs/>
              </w:rPr>
            </w:pPr>
            <w:r w:rsidRPr="00145033">
              <w:rPr>
                <w:b/>
                <w:bCs/>
                <w:i/>
                <w:iCs/>
              </w:rPr>
              <w:t xml:space="preserve">Other State and Commonwealth Government agencies </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760A6B1B" w14:textId="77777777" w:rsidR="002904F2" w:rsidRPr="007B3E3E" w:rsidRDefault="002904F2" w:rsidP="00A358D1">
            <w:pPr>
              <w:numPr>
                <w:ilvl w:val="0"/>
                <w:numId w:val="0"/>
              </w:numPr>
            </w:pPr>
            <w:r w:rsidRPr="007B3E3E">
              <w:t xml:space="preserve">Assurance that information provided in confidence is secure and will not be disclosed without appropriate authority. </w:t>
            </w:r>
          </w:p>
        </w:tc>
      </w:tr>
      <w:tr w:rsidR="002904F2" w:rsidRPr="007B3E3E" w14:paraId="40E9E1A8" w14:textId="77777777" w:rsidTr="00377869">
        <w:trPr>
          <w:trHeight w:val="303"/>
        </w:trPr>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14:paraId="5733BE25" w14:textId="77777777" w:rsidR="002904F2" w:rsidRPr="00145033" w:rsidRDefault="002904F2" w:rsidP="002904F2">
            <w:pPr>
              <w:numPr>
                <w:ilvl w:val="0"/>
                <w:numId w:val="0"/>
              </w:numPr>
              <w:rPr>
                <w:b/>
                <w:bCs/>
                <w:i/>
                <w:iCs/>
              </w:rPr>
            </w:pPr>
            <w:r w:rsidRPr="00145033">
              <w:rPr>
                <w:b/>
                <w:bCs/>
                <w:i/>
                <w:iCs/>
              </w:rPr>
              <w:t>Staff Members</w:t>
            </w:r>
          </w:p>
        </w:tc>
        <w:tc>
          <w:tcPr>
            <w:tcW w:w="3651" w:type="pct"/>
            <w:tcBorders>
              <w:top w:val="single" w:sz="4" w:space="0" w:color="auto"/>
              <w:left w:val="single" w:sz="4" w:space="0" w:color="auto"/>
              <w:bottom w:val="single" w:sz="4" w:space="0" w:color="auto"/>
              <w:right w:val="single" w:sz="4" w:space="0" w:color="auto"/>
            </w:tcBorders>
            <w:shd w:val="clear" w:color="auto" w:fill="auto"/>
            <w:vAlign w:val="center"/>
          </w:tcPr>
          <w:p w14:paraId="77127BFD" w14:textId="4B2B4EAE" w:rsidR="002904F2" w:rsidRPr="007B3E3E" w:rsidRDefault="002904F2" w:rsidP="002904F2">
            <w:pPr>
              <w:numPr>
                <w:ilvl w:val="0"/>
                <w:numId w:val="0"/>
              </w:numPr>
              <w:spacing w:after="160"/>
            </w:pPr>
            <w:r w:rsidRPr="007B3E3E">
              <w:t>Assurance that personally identifiable information managed by</w:t>
            </w:r>
            <w:r>
              <w:t xml:space="preserve"> </w:t>
            </w:r>
            <w:r w:rsidRPr="00B30741">
              <w:rPr>
                <w:rFonts w:cstheme="minorHAnsi"/>
                <w:highlight w:val="yellow"/>
              </w:rPr>
              <w:t>[Council]</w:t>
            </w:r>
            <w:r w:rsidRPr="007B3E3E">
              <w:t xml:space="preserve"> is secure, accurate, and will not be disclosed without the appropriate authority.</w:t>
            </w:r>
          </w:p>
          <w:p w14:paraId="1B2B7DFE" w14:textId="577633C3" w:rsidR="002904F2" w:rsidRDefault="002904F2" w:rsidP="002904F2">
            <w:pPr>
              <w:numPr>
                <w:ilvl w:val="0"/>
                <w:numId w:val="0"/>
              </w:numPr>
            </w:pPr>
            <w:r w:rsidRPr="007B3E3E">
              <w:t>Provision of appropriate security awareness to ensure staff members are aware of their information security responsibilities.</w:t>
            </w:r>
          </w:p>
          <w:p w14:paraId="6CACB5C6" w14:textId="77777777" w:rsidR="002904F2" w:rsidRPr="007B3E3E" w:rsidRDefault="002904F2" w:rsidP="002904F2">
            <w:pPr>
              <w:numPr>
                <w:ilvl w:val="0"/>
                <w:numId w:val="0"/>
              </w:numPr>
            </w:pPr>
          </w:p>
          <w:p w14:paraId="6E8D2E18" w14:textId="77777777" w:rsidR="002904F2" w:rsidRPr="007B3E3E" w:rsidRDefault="002904F2" w:rsidP="002904F2">
            <w:pPr>
              <w:numPr>
                <w:ilvl w:val="0"/>
                <w:numId w:val="0"/>
              </w:numPr>
              <w:spacing w:after="160"/>
            </w:pPr>
            <w:r w:rsidRPr="007B3E3E">
              <w:t xml:space="preserve">Confidence that information used by staff to perform their job function can be relied upon. </w:t>
            </w:r>
          </w:p>
          <w:p w14:paraId="392E5118" w14:textId="74D287E7" w:rsidR="002904F2" w:rsidRPr="007B3E3E" w:rsidRDefault="002904F2" w:rsidP="002904F2">
            <w:pPr>
              <w:numPr>
                <w:ilvl w:val="0"/>
                <w:numId w:val="0"/>
              </w:numPr>
            </w:pPr>
            <w:r w:rsidRPr="007B3E3E">
              <w:t xml:space="preserve">Comfort that </w:t>
            </w:r>
            <w:r w:rsidRPr="00B30741">
              <w:rPr>
                <w:rFonts w:cstheme="minorHAnsi"/>
                <w:highlight w:val="yellow"/>
              </w:rPr>
              <w:t>[Council]</w:t>
            </w:r>
            <w:r w:rsidRPr="007B3E3E">
              <w:t xml:space="preserve"> leadership is invested in the management of security risks and associated controls, to maintain financial sustainability and ensure that staff can take pride in the strong reputation of their employer in helping their communities. </w:t>
            </w:r>
          </w:p>
        </w:tc>
      </w:tr>
    </w:tbl>
    <w:p w14:paraId="4F85FA13" w14:textId="5A506EDB" w:rsidR="00D90486" w:rsidRDefault="00D90486" w:rsidP="007B3E3E"/>
    <w:p w14:paraId="5AB9A511" w14:textId="77777777" w:rsidR="00D90486" w:rsidRDefault="00D90486">
      <w:r>
        <w:br w:type="page"/>
      </w:r>
    </w:p>
    <w:p w14:paraId="61D77CDF" w14:textId="77777777" w:rsidR="007B3E3E" w:rsidRPr="007B3E3E" w:rsidRDefault="007B3E3E" w:rsidP="00942786">
      <w:pPr>
        <w:pStyle w:val="Heading2"/>
      </w:pPr>
      <w:bookmarkStart w:id="13" w:name="_Toc95125368"/>
      <w:bookmarkStart w:id="14" w:name="_Toc101873630"/>
      <w:r w:rsidRPr="007B3E3E">
        <w:lastRenderedPageBreak/>
        <w:t>Constraints</w:t>
      </w:r>
      <w:bookmarkEnd w:id="13"/>
      <w:bookmarkEnd w:id="14"/>
    </w:p>
    <w:p w14:paraId="22DE6C47" w14:textId="4650576C" w:rsidR="007B3E3E" w:rsidRPr="002904F2" w:rsidRDefault="007B3E3E" w:rsidP="007B3E3E">
      <w:pPr>
        <w:rPr>
          <w:i/>
          <w:iCs/>
          <w:color w:val="404040" w:themeColor="text1" w:themeTint="BF"/>
        </w:rPr>
      </w:pPr>
      <w:r w:rsidRPr="002904F2">
        <w:rPr>
          <w:i/>
          <w:iCs/>
          <w:color w:val="404040" w:themeColor="text1" w:themeTint="BF"/>
        </w:rPr>
        <w:t xml:space="preserve">[List any issues that may affect the ability of the </w:t>
      </w:r>
      <w:r w:rsidR="00DD7B31" w:rsidRPr="002904F2">
        <w:rPr>
          <w:i/>
          <w:iCs/>
          <w:color w:val="404040" w:themeColor="text1" w:themeTint="BF"/>
        </w:rPr>
        <w:t>Council</w:t>
      </w:r>
      <w:r w:rsidRPr="002904F2">
        <w:rPr>
          <w:i/>
          <w:iCs/>
          <w:color w:val="404040" w:themeColor="text1" w:themeTint="BF"/>
        </w:rPr>
        <w:t xml:space="preserve"> to implement strong security controls. Examples of possible issues are shown below:]  </w:t>
      </w:r>
    </w:p>
    <w:p w14:paraId="49EC9D89" w14:textId="7A6C3089" w:rsidR="007B3E3E" w:rsidRPr="007B3E3E" w:rsidRDefault="007B3E3E" w:rsidP="007B3E3E">
      <w:r w:rsidRPr="007B3E3E">
        <w:t xml:space="preserve">The following issues which may impact the ability to implement the appropriate security controls to achieve the objectives of the </w:t>
      </w:r>
      <w:r w:rsidR="00A33B70">
        <w:t>security program</w:t>
      </w:r>
      <w:r w:rsidRPr="007B3E3E">
        <w:t>:</w:t>
      </w:r>
    </w:p>
    <w:p w14:paraId="15645E06" w14:textId="77777777" w:rsidR="007B3E3E" w:rsidRPr="002904F2" w:rsidRDefault="007B3E3E" w:rsidP="00942786">
      <w:pPr>
        <w:pStyle w:val="ListParagraph"/>
        <w:rPr>
          <w:i/>
          <w:iCs/>
          <w:color w:val="404040" w:themeColor="text1" w:themeTint="BF"/>
        </w:rPr>
      </w:pPr>
      <w:r w:rsidRPr="002904F2">
        <w:rPr>
          <w:i/>
          <w:iCs/>
          <w:color w:val="404040" w:themeColor="text1" w:themeTint="BF"/>
        </w:rPr>
        <w:t>The structure and directives may change unexpectedly through machinery of government changes;</w:t>
      </w:r>
    </w:p>
    <w:p w14:paraId="4677CA12" w14:textId="3FDB80F2" w:rsidR="007B3E3E" w:rsidRPr="002904F2" w:rsidRDefault="007B3E3E" w:rsidP="00942786">
      <w:pPr>
        <w:pStyle w:val="ListParagraph"/>
        <w:rPr>
          <w:i/>
          <w:iCs/>
          <w:color w:val="404040" w:themeColor="text1" w:themeTint="BF"/>
        </w:rPr>
      </w:pPr>
      <w:r w:rsidRPr="002904F2">
        <w:rPr>
          <w:i/>
          <w:iCs/>
          <w:color w:val="404040" w:themeColor="text1" w:themeTint="BF"/>
        </w:rPr>
        <w:t xml:space="preserve">Availability of resources and key expertise to manage the </w:t>
      </w:r>
      <w:r w:rsidR="00A33B70">
        <w:t>security program</w:t>
      </w:r>
      <w:r w:rsidRPr="002904F2">
        <w:rPr>
          <w:i/>
          <w:iCs/>
          <w:color w:val="404040" w:themeColor="text1" w:themeTint="BF"/>
        </w:rPr>
        <w:t>;</w:t>
      </w:r>
    </w:p>
    <w:p w14:paraId="7C8FEFB9" w14:textId="234382BE" w:rsidR="007B3E3E" w:rsidRPr="002904F2" w:rsidRDefault="007B3E3E" w:rsidP="00942786">
      <w:pPr>
        <w:pStyle w:val="ListParagraph"/>
        <w:rPr>
          <w:i/>
          <w:iCs/>
          <w:color w:val="404040" w:themeColor="text1" w:themeTint="BF"/>
        </w:rPr>
      </w:pPr>
      <w:r w:rsidRPr="002904F2">
        <w:rPr>
          <w:i/>
          <w:iCs/>
          <w:color w:val="404040" w:themeColor="text1" w:themeTint="BF"/>
        </w:rPr>
        <w:t xml:space="preserve">The breadth and diversity of </w:t>
      </w:r>
      <w:r w:rsidRPr="002904F2">
        <w:rPr>
          <w:i/>
          <w:iCs/>
          <w:color w:val="404040" w:themeColor="text1" w:themeTint="BF"/>
          <w:highlight w:val="yellow"/>
        </w:rPr>
        <w:t>[</w:t>
      </w:r>
      <w:r w:rsidR="00DD7B31" w:rsidRPr="002904F2">
        <w:rPr>
          <w:i/>
          <w:iCs/>
          <w:color w:val="404040" w:themeColor="text1" w:themeTint="BF"/>
          <w:highlight w:val="yellow"/>
        </w:rPr>
        <w:t>Council</w:t>
      </w:r>
      <w:r w:rsidRPr="002904F2">
        <w:rPr>
          <w:i/>
          <w:iCs/>
          <w:color w:val="404040" w:themeColor="text1" w:themeTint="BF"/>
          <w:highlight w:val="yellow"/>
        </w:rPr>
        <w:t>]</w:t>
      </w:r>
      <w:r w:rsidRPr="002904F2">
        <w:rPr>
          <w:i/>
          <w:iCs/>
          <w:color w:val="404040" w:themeColor="text1" w:themeTint="BF"/>
        </w:rPr>
        <w:t xml:space="preserve"> with respect to the programs and services that it provides; </w:t>
      </w:r>
    </w:p>
    <w:p w14:paraId="38EC8E95" w14:textId="77777777" w:rsidR="007B3E3E" w:rsidRPr="002904F2" w:rsidRDefault="007B3E3E" w:rsidP="00942786">
      <w:pPr>
        <w:pStyle w:val="ListParagraph"/>
        <w:rPr>
          <w:i/>
          <w:iCs/>
          <w:color w:val="404040" w:themeColor="text1" w:themeTint="BF"/>
        </w:rPr>
      </w:pPr>
      <w:r w:rsidRPr="002904F2">
        <w:rPr>
          <w:i/>
          <w:iCs/>
          <w:color w:val="404040" w:themeColor="text1" w:themeTint="BF"/>
        </w:rPr>
        <w:t xml:space="preserve">Cultural resistance to change; </w:t>
      </w:r>
    </w:p>
    <w:p w14:paraId="6626C610" w14:textId="77777777" w:rsidR="007B3E3E" w:rsidRPr="002904F2" w:rsidRDefault="007B3E3E" w:rsidP="00942786">
      <w:pPr>
        <w:pStyle w:val="ListParagraph"/>
        <w:rPr>
          <w:i/>
          <w:iCs/>
          <w:color w:val="404040" w:themeColor="text1" w:themeTint="BF"/>
        </w:rPr>
      </w:pPr>
      <w:r w:rsidRPr="002904F2">
        <w:rPr>
          <w:i/>
          <w:iCs/>
          <w:color w:val="404040" w:themeColor="text1" w:themeTint="BF"/>
        </w:rPr>
        <w:t>Balancing the need for timely and appropriate availability of information against the requirements of confidentiality;</w:t>
      </w:r>
    </w:p>
    <w:p w14:paraId="78894F24" w14:textId="3A140E6C" w:rsidR="007B3E3E" w:rsidRPr="002904F2" w:rsidRDefault="007B3E3E" w:rsidP="00942786">
      <w:pPr>
        <w:pStyle w:val="ListParagraph"/>
        <w:rPr>
          <w:i/>
          <w:iCs/>
          <w:color w:val="404040" w:themeColor="text1" w:themeTint="BF"/>
        </w:rPr>
      </w:pPr>
      <w:r w:rsidRPr="002904F2">
        <w:rPr>
          <w:i/>
          <w:iCs/>
          <w:color w:val="404040" w:themeColor="text1" w:themeTint="BF"/>
        </w:rPr>
        <w:t xml:space="preserve">Difficulty training users and rolling out new initiatives due to differing technical skillsets and diverse nature of </w:t>
      </w:r>
      <w:r w:rsidR="002904F2" w:rsidRPr="002904F2">
        <w:rPr>
          <w:i/>
          <w:iCs/>
          <w:color w:val="404040" w:themeColor="text1" w:themeTint="BF"/>
          <w:highlight w:val="yellow"/>
        </w:rPr>
        <w:t>[Council]</w:t>
      </w:r>
      <w:r w:rsidRPr="002904F2">
        <w:rPr>
          <w:i/>
          <w:iCs/>
          <w:color w:val="404040" w:themeColor="text1" w:themeTint="BF"/>
        </w:rPr>
        <w:t>’s workforce;</w:t>
      </w:r>
    </w:p>
    <w:p w14:paraId="46AE1788" w14:textId="27D19646" w:rsidR="007B3E3E" w:rsidRPr="002904F2" w:rsidRDefault="007B3E3E" w:rsidP="00942786">
      <w:pPr>
        <w:pStyle w:val="ListParagraph"/>
        <w:rPr>
          <w:i/>
          <w:iCs/>
          <w:color w:val="404040" w:themeColor="text1" w:themeTint="BF"/>
        </w:rPr>
      </w:pPr>
      <w:r w:rsidRPr="002904F2">
        <w:rPr>
          <w:i/>
          <w:iCs/>
          <w:color w:val="404040" w:themeColor="text1" w:themeTint="BF"/>
        </w:rPr>
        <w:t>The rate of technological change with respect to information</w:t>
      </w:r>
      <w:r w:rsidR="002904F2" w:rsidRPr="002904F2">
        <w:rPr>
          <w:i/>
          <w:iCs/>
          <w:color w:val="404040" w:themeColor="text1" w:themeTint="BF"/>
        </w:rPr>
        <w:t xml:space="preserve"> and cyber</w:t>
      </w:r>
      <w:r w:rsidRPr="002904F2">
        <w:rPr>
          <w:i/>
          <w:iCs/>
          <w:color w:val="404040" w:themeColor="text1" w:themeTint="BF"/>
        </w:rPr>
        <w:t xml:space="preserve"> security;</w:t>
      </w:r>
    </w:p>
    <w:p w14:paraId="136D825F" w14:textId="77777777" w:rsidR="007B3E3E" w:rsidRPr="002904F2" w:rsidRDefault="007B3E3E" w:rsidP="00942786">
      <w:pPr>
        <w:pStyle w:val="ListParagraph"/>
        <w:rPr>
          <w:i/>
          <w:iCs/>
          <w:color w:val="404040" w:themeColor="text1" w:themeTint="BF"/>
        </w:rPr>
      </w:pPr>
      <w:r w:rsidRPr="002904F2">
        <w:rPr>
          <w:i/>
          <w:iCs/>
          <w:color w:val="404040" w:themeColor="text1" w:themeTint="BF"/>
        </w:rPr>
        <w:t xml:space="preserve">Potential impact of new security controls on completion of business as usual activities; </w:t>
      </w:r>
    </w:p>
    <w:p w14:paraId="6B2F3CDE" w14:textId="77777777" w:rsidR="007B3E3E" w:rsidRPr="002904F2" w:rsidRDefault="007B3E3E" w:rsidP="00942786">
      <w:pPr>
        <w:pStyle w:val="ListParagraph"/>
        <w:rPr>
          <w:i/>
          <w:iCs/>
          <w:color w:val="404040" w:themeColor="text1" w:themeTint="BF"/>
        </w:rPr>
      </w:pPr>
      <w:r w:rsidRPr="002904F2">
        <w:rPr>
          <w:i/>
          <w:iCs/>
          <w:color w:val="404040" w:themeColor="text1" w:themeTint="BF"/>
        </w:rPr>
        <w:t>Availability and capacity constraints of key resources and funding varies across business units;</w:t>
      </w:r>
    </w:p>
    <w:p w14:paraId="0E3EFFFF" w14:textId="77777777" w:rsidR="007B3E3E" w:rsidRPr="002904F2" w:rsidRDefault="007B3E3E" w:rsidP="00942786">
      <w:pPr>
        <w:pStyle w:val="ListParagraph"/>
        <w:rPr>
          <w:i/>
          <w:iCs/>
          <w:color w:val="404040" w:themeColor="text1" w:themeTint="BF"/>
        </w:rPr>
      </w:pPr>
      <w:r w:rsidRPr="002904F2">
        <w:rPr>
          <w:i/>
          <w:iCs/>
          <w:color w:val="404040" w:themeColor="text1" w:themeTint="BF"/>
        </w:rPr>
        <w:t>Breadth and diversity of the organisation and its subsidiaries, together with its wide range of services and geographical distribution;</w:t>
      </w:r>
    </w:p>
    <w:p w14:paraId="21EF8A1E" w14:textId="77777777" w:rsidR="007B3E3E" w:rsidRPr="002904F2" w:rsidRDefault="007B3E3E" w:rsidP="00942786">
      <w:pPr>
        <w:pStyle w:val="ListParagraph"/>
        <w:rPr>
          <w:i/>
          <w:iCs/>
          <w:color w:val="404040" w:themeColor="text1" w:themeTint="BF"/>
        </w:rPr>
      </w:pPr>
      <w:r w:rsidRPr="002904F2">
        <w:rPr>
          <w:i/>
          <w:iCs/>
          <w:color w:val="404040" w:themeColor="text1" w:themeTint="BF"/>
        </w:rPr>
        <w:t>Difficulty maintaining a consistent approach to information security due to changes in legislation and policies from state and federal Government entities; and</w:t>
      </w:r>
    </w:p>
    <w:p w14:paraId="7D926860" w14:textId="2E7EB700" w:rsidR="007B3E3E" w:rsidRPr="002904F2" w:rsidRDefault="007B3E3E" w:rsidP="00942786">
      <w:pPr>
        <w:pStyle w:val="ListParagraph"/>
        <w:rPr>
          <w:i/>
          <w:iCs/>
          <w:color w:val="404040" w:themeColor="text1" w:themeTint="BF"/>
        </w:rPr>
      </w:pPr>
      <w:r w:rsidRPr="002904F2">
        <w:rPr>
          <w:i/>
          <w:iCs/>
          <w:color w:val="404040" w:themeColor="text1" w:themeTint="BF"/>
        </w:rPr>
        <w:t>Extent of resources required to comply with state and federal government security requirements due to the significant financial investment required to address them.</w:t>
      </w:r>
    </w:p>
    <w:p w14:paraId="562120EF" w14:textId="6B39D538" w:rsidR="00DD27D3" w:rsidRDefault="007B3E3E" w:rsidP="00D90486">
      <w:pPr>
        <w:spacing w:before="240"/>
      </w:pPr>
      <w:r w:rsidRPr="007B3E3E">
        <w:t xml:space="preserve">As part of </w:t>
      </w:r>
      <w:r w:rsidR="002904F2" w:rsidRPr="002904F2">
        <w:rPr>
          <w:highlight w:val="yellow"/>
        </w:rPr>
        <w:t>[Council]</w:t>
      </w:r>
      <w:r w:rsidRPr="007B3E3E">
        <w:t>’s risk management approach, strategies are developed as appropriate to mitigate the risks associated with these constraints.</w:t>
      </w:r>
    </w:p>
    <w:p w14:paraId="1FBCEF8C" w14:textId="77777777" w:rsidR="00DD27D3" w:rsidRDefault="00DD27D3">
      <w:r>
        <w:br w:type="page"/>
      </w:r>
    </w:p>
    <w:p w14:paraId="2E12F494" w14:textId="2A283F39" w:rsidR="00E07825" w:rsidRDefault="00E07825" w:rsidP="00A34ED3">
      <w:pPr>
        <w:pStyle w:val="Heading1"/>
      </w:pPr>
      <w:bookmarkStart w:id="15" w:name="_Toc101873631"/>
      <w:r>
        <w:lastRenderedPageBreak/>
        <w:t>Security Governance</w:t>
      </w:r>
      <w:bookmarkEnd w:id="15"/>
    </w:p>
    <w:p w14:paraId="283DA5C4" w14:textId="4C7D3863" w:rsidR="00E07825" w:rsidRDefault="00E07825" w:rsidP="00E07825">
      <w:pPr>
        <w:pStyle w:val="Heading2"/>
      </w:pPr>
      <w:bookmarkStart w:id="16" w:name="_Toc101873632"/>
      <w:r>
        <w:t>Governance Model</w:t>
      </w:r>
      <w:bookmarkEnd w:id="16"/>
      <w:r>
        <w:t xml:space="preserve"> </w:t>
      </w:r>
    </w:p>
    <w:p w14:paraId="600D0C12" w14:textId="2157105E" w:rsidR="00E07825" w:rsidRDefault="002904F2" w:rsidP="00E07825">
      <w:pPr>
        <w:spacing w:before="240"/>
      </w:pPr>
      <w:r>
        <w:t>S</w:t>
      </w:r>
      <w:r w:rsidR="00E07825">
        <w:t>ecurity</w:t>
      </w:r>
      <w:r>
        <w:t xml:space="preserve"> risk management</w:t>
      </w:r>
      <w:r w:rsidR="00E07825">
        <w:t xml:space="preserve"> is everyone’s responsibility. The implementation of the </w:t>
      </w:r>
      <w:r w:rsidR="00A33B70">
        <w:t>security program</w:t>
      </w:r>
      <w:r w:rsidR="00E07825">
        <w:t xml:space="preserve"> is overseen by the </w:t>
      </w:r>
      <w:r w:rsidR="00E07825" w:rsidRPr="002904F2">
        <w:rPr>
          <w:highlight w:val="yellow"/>
        </w:rPr>
        <w:t xml:space="preserve">[Security </w:t>
      </w:r>
      <w:r w:rsidRPr="002904F2">
        <w:rPr>
          <w:highlight w:val="yellow"/>
        </w:rPr>
        <w:t>Working Group</w:t>
      </w:r>
      <w:r w:rsidR="00E07825" w:rsidRPr="002904F2">
        <w:rPr>
          <w:highlight w:val="yellow"/>
        </w:rPr>
        <w:t>]</w:t>
      </w:r>
      <w:r w:rsidR="00E07825">
        <w:t xml:space="preserve"> with a direct link to senior leadership through the </w:t>
      </w:r>
      <w:r w:rsidR="00E07825" w:rsidRPr="002904F2">
        <w:rPr>
          <w:highlight w:val="yellow"/>
        </w:rPr>
        <w:t>[Executive responsibility for security]</w:t>
      </w:r>
      <w:r w:rsidR="00E07825">
        <w:t>.</w:t>
      </w:r>
    </w:p>
    <w:p w14:paraId="6F94ED65" w14:textId="0D4CCE3B" w:rsidR="00E07825" w:rsidRDefault="00E07825" w:rsidP="00E07825">
      <w:pPr>
        <w:spacing w:before="240"/>
      </w:pPr>
      <w:r>
        <w:t xml:space="preserve">The diagram below shows the security governance structure together with the interfaces and dependencies within </w:t>
      </w:r>
      <w:r w:rsidR="002904F2" w:rsidRPr="002904F2">
        <w:rPr>
          <w:highlight w:val="yellow"/>
        </w:rPr>
        <w:t>[Council]</w:t>
      </w:r>
      <w:r w:rsidR="002904F2">
        <w:t>’</w:t>
      </w:r>
      <w:r>
        <w:t xml:space="preserve">s security </w:t>
      </w:r>
      <w:r w:rsidR="002904F2">
        <w:t>program</w:t>
      </w:r>
      <w:r>
        <w:t xml:space="preserve">. </w:t>
      </w:r>
    </w:p>
    <w:p w14:paraId="165A560E" w14:textId="709F3528" w:rsidR="00D90486" w:rsidRPr="002904F2" w:rsidRDefault="00E07825" w:rsidP="00E07825">
      <w:pPr>
        <w:spacing w:before="240"/>
        <w:jc w:val="center"/>
        <w:rPr>
          <w:i/>
          <w:iCs/>
          <w:color w:val="404040" w:themeColor="text1" w:themeTint="BF"/>
        </w:rPr>
      </w:pPr>
      <w:r w:rsidRPr="002904F2">
        <w:rPr>
          <w:i/>
          <w:iCs/>
          <w:color w:val="404040" w:themeColor="text1" w:themeTint="BF"/>
          <w:highlight w:val="yellow"/>
        </w:rPr>
        <w:t>&lt;EXAMPLE GOVERNANCE STRUCTURE DIAGRAM&gt;</w:t>
      </w:r>
    </w:p>
    <w:p w14:paraId="26C73073" w14:textId="799A2500" w:rsidR="001952C2" w:rsidRDefault="001952C2" w:rsidP="00E07825">
      <w:pPr>
        <w:spacing w:before="240"/>
        <w:jc w:val="center"/>
      </w:pPr>
      <w:r>
        <w:rPr>
          <w:noProof/>
        </w:rPr>
        <w:drawing>
          <wp:inline distT="0" distB="0" distL="0" distR="0" wp14:anchorId="3B7DE1A9" wp14:editId="6746DACC">
            <wp:extent cx="3347049" cy="2268947"/>
            <wp:effectExtent l="0" t="0" r="635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12"/>
                    <a:stretch>
                      <a:fillRect/>
                    </a:stretch>
                  </pic:blipFill>
                  <pic:spPr>
                    <a:xfrm>
                      <a:off x="0" y="0"/>
                      <a:ext cx="3352110" cy="2272378"/>
                    </a:xfrm>
                    <a:prstGeom prst="rect">
                      <a:avLst/>
                    </a:prstGeom>
                  </pic:spPr>
                </pic:pic>
              </a:graphicData>
            </a:graphic>
          </wp:inline>
        </w:drawing>
      </w:r>
    </w:p>
    <w:p w14:paraId="13823113" w14:textId="24A34E7A" w:rsidR="00EB49F7" w:rsidRDefault="00EB49F7" w:rsidP="00EB49F7">
      <w:pPr>
        <w:pStyle w:val="Heading2"/>
      </w:pPr>
      <w:bookmarkStart w:id="17" w:name="_Toc101873633"/>
      <w:r>
        <w:t>Legal and Regulatory Requirements</w:t>
      </w:r>
      <w:bookmarkEnd w:id="17"/>
    </w:p>
    <w:p w14:paraId="04A17063" w14:textId="6902767E" w:rsidR="00B15B34" w:rsidRDefault="002904F2" w:rsidP="00EB49F7">
      <w:pPr>
        <w:spacing w:before="240"/>
      </w:pPr>
      <w:r w:rsidRPr="002904F2">
        <w:rPr>
          <w:highlight w:val="yellow"/>
        </w:rPr>
        <w:t>[Council]</w:t>
      </w:r>
      <w:r w:rsidR="00EB49F7">
        <w:t>’s legal and regulatory requirements for security</w:t>
      </w:r>
      <w:r>
        <w:t xml:space="preserve"> risk management</w:t>
      </w:r>
      <w:r w:rsidR="00EB49F7">
        <w:t xml:space="preserve">, and information privacy and protection are documented in </w:t>
      </w:r>
      <w:r w:rsidR="00EB49F7" w:rsidRPr="002904F2">
        <w:rPr>
          <w:highlight w:val="yellow"/>
        </w:rPr>
        <w:t>[Register]</w:t>
      </w:r>
      <w:r w:rsidR="00EB49F7">
        <w:t>. </w:t>
      </w:r>
    </w:p>
    <w:p w14:paraId="3FAC06E6" w14:textId="77777777" w:rsidR="00B15B34" w:rsidRDefault="00B15B34">
      <w:r>
        <w:br w:type="page"/>
      </w:r>
    </w:p>
    <w:p w14:paraId="40612835" w14:textId="3DBA18D8" w:rsidR="00EB49F7" w:rsidRDefault="00EB49F7" w:rsidP="00BB6F58">
      <w:pPr>
        <w:pStyle w:val="Heading1"/>
      </w:pPr>
      <w:bookmarkStart w:id="18" w:name="_Toc101873634"/>
      <w:r>
        <w:lastRenderedPageBreak/>
        <w:t>R</w:t>
      </w:r>
      <w:r w:rsidR="00607805">
        <w:t>oles and Responsibilities</w:t>
      </w:r>
      <w:bookmarkEnd w:id="18"/>
      <w:r>
        <w:t xml:space="preserve"> </w:t>
      </w:r>
    </w:p>
    <w:p w14:paraId="1AEE8521" w14:textId="482080DE" w:rsidR="002341F8" w:rsidRDefault="00EB49F7" w:rsidP="00631F92">
      <w:pPr>
        <w:spacing w:before="240"/>
      </w:pPr>
      <w:r>
        <w:t xml:space="preserve">The following table outlines the key roles and responsibilities required for the ongoing management and operation of the </w:t>
      </w:r>
      <w:r w:rsidR="00A33B70">
        <w:t>security program</w:t>
      </w:r>
      <w:r>
        <w:t xml:space="preserve"> together with the expected competencies and authorities associated with those roles.</w:t>
      </w:r>
    </w:p>
    <w:tbl>
      <w:tblPr>
        <w:tblStyle w:val="TableGrid"/>
        <w:tblW w:w="5000" w:type="pct"/>
        <w:tblLook w:val="04A0" w:firstRow="1" w:lastRow="0" w:firstColumn="1" w:lastColumn="0" w:noHBand="0" w:noVBand="1"/>
      </w:tblPr>
      <w:tblGrid>
        <w:gridCol w:w="1449"/>
        <w:gridCol w:w="5242"/>
        <w:gridCol w:w="2597"/>
      </w:tblGrid>
      <w:tr w:rsidR="002341F8" w:rsidRPr="002341F8" w14:paraId="0FC219CF" w14:textId="77777777" w:rsidTr="00691B3E">
        <w:trPr>
          <w:trHeight w:val="298"/>
          <w:tblHeader/>
        </w:trPr>
        <w:tc>
          <w:tcPr>
            <w:tcW w:w="780" w:type="pct"/>
            <w:tcBorders>
              <w:bottom w:val="single" w:sz="4" w:space="0" w:color="auto"/>
            </w:tcBorders>
            <w:shd w:val="clear" w:color="auto" w:fill="004B88"/>
          </w:tcPr>
          <w:p w14:paraId="4B75F8A3" w14:textId="77777777" w:rsidR="002341F8" w:rsidRPr="002341F8" w:rsidRDefault="002341F8" w:rsidP="008A2513">
            <w:pPr>
              <w:numPr>
                <w:ilvl w:val="0"/>
                <w:numId w:val="0"/>
              </w:numPr>
              <w:rPr>
                <w:b/>
                <w:bCs/>
              </w:rPr>
            </w:pPr>
            <w:r w:rsidRPr="002341F8">
              <w:rPr>
                <w:b/>
                <w:bCs/>
              </w:rPr>
              <w:t>Role</w:t>
            </w:r>
          </w:p>
        </w:tc>
        <w:tc>
          <w:tcPr>
            <w:tcW w:w="2822" w:type="pct"/>
            <w:tcBorders>
              <w:bottom w:val="single" w:sz="4" w:space="0" w:color="auto"/>
            </w:tcBorders>
            <w:shd w:val="clear" w:color="auto" w:fill="004B88"/>
          </w:tcPr>
          <w:p w14:paraId="07D06128" w14:textId="77777777" w:rsidR="002341F8" w:rsidRPr="002341F8" w:rsidRDefault="002341F8" w:rsidP="008A2513">
            <w:pPr>
              <w:numPr>
                <w:ilvl w:val="0"/>
                <w:numId w:val="0"/>
              </w:numPr>
              <w:rPr>
                <w:b/>
                <w:bCs/>
              </w:rPr>
            </w:pPr>
            <w:r w:rsidRPr="002341F8">
              <w:rPr>
                <w:b/>
                <w:bCs/>
              </w:rPr>
              <w:t>Responsibility</w:t>
            </w:r>
            <w:r w:rsidRPr="002341F8">
              <w:rPr>
                <w:b/>
                <w:bCs/>
              </w:rPr>
              <w:tab/>
            </w:r>
          </w:p>
        </w:tc>
        <w:tc>
          <w:tcPr>
            <w:tcW w:w="1398" w:type="pct"/>
            <w:tcBorders>
              <w:bottom w:val="single" w:sz="4" w:space="0" w:color="auto"/>
            </w:tcBorders>
            <w:shd w:val="clear" w:color="auto" w:fill="004B88"/>
          </w:tcPr>
          <w:p w14:paraId="602BEA23" w14:textId="77777777" w:rsidR="002341F8" w:rsidRPr="002341F8" w:rsidRDefault="002341F8" w:rsidP="008A2513">
            <w:pPr>
              <w:numPr>
                <w:ilvl w:val="0"/>
                <w:numId w:val="0"/>
              </w:numPr>
              <w:rPr>
                <w:b/>
                <w:bCs/>
              </w:rPr>
            </w:pPr>
            <w:r w:rsidRPr="002341F8">
              <w:rPr>
                <w:b/>
                <w:bCs/>
              </w:rPr>
              <w:t>Competency / Authority</w:t>
            </w:r>
          </w:p>
        </w:tc>
      </w:tr>
      <w:tr w:rsidR="002341F8" w:rsidRPr="002341F8" w14:paraId="0FD1E8B2" w14:textId="77777777" w:rsidTr="00377869">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34533F6B" w14:textId="77777777" w:rsidR="002341F8" w:rsidRPr="00C71252" w:rsidRDefault="002341F8" w:rsidP="00377869">
            <w:pPr>
              <w:numPr>
                <w:ilvl w:val="0"/>
                <w:numId w:val="0"/>
              </w:numPr>
              <w:spacing w:before="120"/>
              <w:rPr>
                <w:b/>
                <w:bCs/>
                <w:i/>
                <w:iCs/>
              </w:rPr>
            </w:pPr>
            <w:r w:rsidRPr="00C71252">
              <w:rPr>
                <w:b/>
                <w:bCs/>
                <w:i/>
                <w:iCs/>
              </w:rPr>
              <w:t>Senior Leadership</w:t>
            </w:r>
          </w:p>
          <w:p w14:paraId="78B4B67F" w14:textId="77777777" w:rsidR="002341F8" w:rsidRPr="00C71252" w:rsidRDefault="002341F8" w:rsidP="00377869">
            <w:pPr>
              <w:numPr>
                <w:ilvl w:val="0"/>
                <w:numId w:val="0"/>
              </w:numPr>
              <w:spacing w:before="120"/>
              <w:rPr>
                <w:b/>
                <w:bCs/>
                <w:i/>
                <w:iCs/>
              </w:rPr>
            </w:pP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39CEA85F" w14:textId="79A4FB09" w:rsidR="00377869" w:rsidRDefault="002341F8" w:rsidP="00377869">
            <w:pPr>
              <w:numPr>
                <w:ilvl w:val="0"/>
                <w:numId w:val="0"/>
              </w:numPr>
              <w:spacing w:before="120"/>
            </w:pPr>
            <w:r w:rsidRPr="002341F8">
              <w:t xml:space="preserve">Senior leadership comprises the </w:t>
            </w:r>
            <w:r w:rsidRPr="00377869">
              <w:rPr>
                <w:highlight w:val="yellow"/>
              </w:rPr>
              <w:t>[Executive leadership team – or equivalent]</w:t>
            </w:r>
            <w:r w:rsidRPr="002341F8">
              <w:t xml:space="preserve"> and is responsible for providing support and resources for the </w:t>
            </w:r>
            <w:r w:rsidR="00A33B70">
              <w:t>security program</w:t>
            </w:r>
            <w:r w:rsidRPr="002341F8">
              <w:t xml:space="preserve"> and championing organisational commitment to improving the security culture of </w:t>
            </w:r>
            <w:r w:rsidRPr="00377869">
              <w:rPr>
                <w:highlight w:val="yellow"/>
              </w:rPr>
              <w:t>[</w:t>
            </w:r>
            <w:r w:rsidR="00DD7B31" w:rsidRPr="00377869">
              <w:rPr>
                <w:highlight w:val="yellow"/>
              </w:rPr>
              <w:t>Council</w:t>
            </w:r>
            <w:r w:rsidRPr="00377869">
              <w:rPr>
                <w:highlight w:val="yellow"/>
              </w:rPr>
              <w:t>]</w:t>
            </w:r>
            <w:r w:rsidRPr="002341F8">
              <w:t>. </w:t>
            </w:r>
          </w:p>
          <w:p w14:paraId="3420210C" w14:textId="481E1F40" w:rsidR="00377869" w:rsidRDefault="00377869" w:rsidP="00377869">
            <w:pPr>
              <w:numPr>
                <w:ilvl w:val="0"/>
                <w:numId w:val="0"/>
              </w:numPr>
              <w:spacing w:before="120"/>
            </w:pPr>
            <w:r>
              <w:t>Senior leadership will:</w:t>
            </w:r>
          </w:p>
          <w:p w14:paraId="29E3FDB9" w14:textId="73E7D261" w:rsidR="00377869" w:rsidRDefault="00377869" w:rsidP="00377869">
            <w:pPr>
              <w:pStyle w:val="ListParagraph"/>
              <w:numPr>
                <w:ilvl w:val="0"/>
                <w:numId w:val="13"/>
              </w:numPr>
              <w:spacing w:after="0"/>
              <w:ind w:left="714" w:hanging="357"/>
            </w:pPr>
            <w:r>
              <w:t>Define the risk appetite of the council.</w:t>
            </w:r>
          </w:p>
          <w:p w14:paraId="7ED490F7" w14:textId="5BCF0BE6" w:rsidR="00377869" w:rsidRDefault="00377869" w:rsidP="00377869">
            <w:pPr>
              <w:pStyle w:val="ListParagraph"/>
              <w:numPr>
                <w:ilvl w:val="0"/>
                <w:numId w:val="13"/>
              </w:numPr>
              <w:spacing w:after="0"/>
              <w:ind w:left="714" w:hanging="357"/>
            </w:pPr>
            <w:r>
              <w:t>Endorse a target security program tier level.</w:t>
            </w:r>
          </w:p>
          <w:p w14:paraId="716C9FD7" w14:textId="77777777" w:rsidR="00377869" w:rsidRDefault="00377869" w:rsidP="00377869">
            <w:pPr>
              <w:pStyle w:val="ListParagraph"/>
              <w:numPr>
                <w:ilvl w:val="0"/>
                <w:numId w:val="13"/>
              </w:numPr>
              <w:spacing w:after="0"/>
              <w:ind w:left="714" w:hanging="357"/>
            </w:pPr>
            <w:r>
              <w:t>Assign management, and suitable and sufficient resourcing to support the security program.</w:t>
            </w:r>
          </w:p>
          <w:p w14:paraId="47CA230B" w14:textId="36B8FAC8" w:rsidR="00377869" w:rsidRPr="002341F8" w:rsidRDefault="00377869" w:rsidP="00377869">
            <w:pPr>
              <w:pStyle w:val="ListParagraph"/>
              <w:numPr>
                <w:ilvl w:val="0"/>
                <w:numId w:val="13"/>
              </w:numPr>
              <w:spacing w:after="0"/>
              <w:ind w:left="714" w:hanging="357"/>
            </w:pPr>
            <w:r>
              <w:t>Provide guidance toward the criticality and sensitivity of processes and supporting information assets within their business unit to enable targeted security risk management activities.</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30AF2F0B" w14:textId="77777777" w:rsidR="002341F8" w:rsidRPr="002341F8" w:rsidRDefault="002341F8" w:rsidP="00377869">
            <w:pPr>
              <w:numPr>
                <w:ilvl w:val="0"/>
                <w:numId w:val="0"/>
              </w:numPr>
              <w:spacing w:before="120"/>
            </w:pPr>
            <w:r w:rsidRPr="002341F8">
              <w:t>Strong understanding of the organisation and strategic objectives. </w:t>
            </w:r>
          </w:p>
          <w:p w14:paraId="4BAC8EDD" w14:textId="77777777" w:rsidR="002341F8" w:rsidRPr="002341F8" w:rsidRDefault="002341F8" w:rsidP="00377869">
            <w:pPr>
              <w:numPr>
                <w:ilvl w:val="0"/>
                <w:numId w:val="0"/>
              </w:numPr>
              <w:spacing w:before="120"/>
            </w:pPr>
            <w:r w:rsidRPr="002341F8">
              <w:t>Authority to assign resources. </w:t>
            </w:r>
          </w:p>
          <w:p w14:paraId="35F19445" w14:textId="77777777" w:rsidR="002341F8" w:rsidRPr="002341F8" w:rsidRDefault="002341F8" w:rsidP="00377869">
            <w:pPr>
              <w:numPr>
                <w:ilvl w:val="0"/>
                <w:numId w:val="0"/>
              </w:numPr>
              <w:spacing w:before="120"/>
            </w:pPr>
            <w:r w:rsidRPr="002341F8">
              <w:t>Authority to approve policies. </w:t>
            </w:r>
          </w:p>
        </w:tc>
      </w:tr>
      <w:tr w:rsidR="00377869" w:rsidRPr="002341F8" w14:paraId="732F9C93" w14:textId="77777777" w:rsidTr="00377869">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5FB36948" w14:textId="4D230ADB" w:rsidR="00377869" w:rsidRPr="00C71252" w:rsidRDefault="00377869" w:rsidP="00377869">
            <w:pPr>
              <w:numPr>
                <w:ilvl w:val="0"/>
                <w:numId w:val="0"/>
              </w:numPr>
              <w:spacing w:before="120"/>
              <w:rPr>
                <w:b/>
                <w:bCs/>
                <w:i/>
                <w:iCs/>
              </w:rPr>
            </w:pPr>
            <w:r w:rsidRPr="00C71252">
              <w:rPr>
                <w:b/>
                <w:bCs/>
                <w:i/>
                <w:iCs/>
              </w:rPr>
              <w:t xml:space="preserve">Security </w:t>
            </w:r>
            <w:r>
              <w:rPr>
                <w:b/>
                <w:bCs/>
                <w:i/>
                <w:iCs/>
              </w:rPr>
              <w:t>Working Group</w:t>
            </w:r>
            <w:r w:rsidRPr="00C71252">
              <w:rPr>
                <w:b/>
                <w:bCs/>
                <w:i/>
                <w:iCs/>
              </w:rPr>
              <w:t xml:space="preserve"> </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193A149" w14:textId="20BFBADB" w:rsidR="00377869" w:rsidRDefault="00377869" w:rsidP="00377869">
            <w:pPr>
              <w:numPr>
                <w:ilvl w:val="0"/>
                <w:numId w:val="0"/>
              </w:numPr>
              <w:spacing w:before="120"/>
            </w:pPr>
            <w:r w:rsidRPr="002341F8">
              <w:t>The role of the [Security</w:t>
            </w:r>
            <w:r>
              <w:t xml:space="preserve"> Working Group</w:t>
            </w:r>
            <w:r w:rsidRPr="002341F8">
              <w:t xml:space="preserve">] is to act as </w:t>
            </w:r>
            <w:r>
              <w:t>an advisory, decision making, and coordination body for the security program. This group can be expected to:</w:t>
            </w:r>
          </w:p>
          <w:p w14:paraId="77EE5766" w14:textId="3E2A9BDC" w:rsidR="00377869" w:rsidRDefault="00377869" w:rsidP="00A33B70">
            <w:pPr>
              <w:pStyle w:val="ListParagraph"/>
              <w:numPr>
                <w:ilvl w:val="0"/>
                <w:numId w:val="13"/>
              </w:numPr>
              <w:spacing w:after="0"/>
              <w:ind w:left="714" w:hanging="357"/>
            </w:pPr>
            <w:r>
              <w:t>Respond to the direction of the security program owner;</w:t>
            </w:r>
          </w:p>
          <w:p w14:paraId="0D9BECA7" w14:textId="77777777" w:rsidR="00377869" w:rsidRDefault="00377869" w:rsidP="00A33B70">
            <w:pPr>
              <w:pStyle w:val="ListParagraph"/>
              <w:numPr>
                <w:ilvl w:val="0"/>
                <w:numId w:val="13"/>
              </w:numPr>
              <w:spacing w:after="0"/>
              <w:ind w:left="714" w:hanging="357"/>
            </w:pPr>
            <w:r>
              <w:t>Ensure the development and maintenance of, and adherence to, the council’s policies, procedures, work instructions and other operational documents to ensure compliance with the security program;</w:t>
            </w:r>
          </w:p>
          <w:p w14:paraId="31D27B3D" w14:textId="77777777" w:rsidR="00377869" w:rsidRDefault="00377869" w:rsidP="00A33B70">
            <w:pPr>
              <w:pStyle w:val="ListParagraph"/>
              <w:numPr>
                <w:ilvl w:val="0"/>
                <w:numId w:val="13"/>
              </w:numPr>
              <w:spacing w:after="0"/>
              <w:ind w:left="714" w:hanging="357"/>
            </w:pPr>
            <w:r>
              <w:t>Review security issues and facilitate improvements to remediate security risks;</w:t>
            </w:r>
          </w:p>
          <w:p w14:paraId="72CEB251" w14:textId="77777777" w:rsidR="00377869" w:rsidRDefault="00377869" w:rsidP="00A33B70">
            <w:pPr>
              <w:pStyle w:val="ListParagraph"/>
              <w:numPr>
                <w:ilvl w:val="0"/>
                <w:numId w:val="13"/>
              </w:numPr>
              <w:spacing w:after="0"/>
              <w:ind w:left="714" w:hanging="357"/>
            </w:pPr>
            <w:r>
              <w:t>Monitor changes to services or deliverables for interested parties;</w:t>
            </w:r>
          </w:p>
          <w:p w14:paraId="7E9BC17C" w14:textId="77777777" w:rsidR="00377869" w:rsidRDefault="00377869" w:rsidP="00A33B70">
            <w:pPr>
              <w:pStyle w:val="ListParagraph"/>
              <w:numPr>
                <w:ilvl w:val="0"/>
                <w:numId w:val="13"/>
              </w:numPr>
              <w:spacing w:after="0"/>
              <w:ind w:left="714" w:hanging="357"/>
            </w:pPr>
            <w:r>
              <w:t>Review outcomes from security incidents and associated corrective actions and improvements;</w:t>
            </w:r>
          </w:p>
          <w:p w14:paraId="385AC030" w14:textId="77777777" w:rsidR="00377869" w:rsidRDefault="00377869" w:rsidP="00A33B70">
            <w:pPr>
              <w:pStyle w:val="ListParagraph"/>
              <w:numPr>
                <w:ilvl w:val="0"/>
                <w:numId w:val="13"/>
              </w:numPr>
              <w:spacing w:after="0"/>
              <w:ind w:left="714" w:hanging="357"/>
            </w:pPr>
            <w:r>
              <w:t>Evaluate the results of audits and reviews; and facilitating the required remedial actions; and</w:t>
            </w:r>
          </w:p>
          <w:p w14:paraId="0C8BBAF2" w14:textId="1C09454A" w:rsidR="00377869" w:rsidRDefault="00377869" w:rsidP="00A33B70">
            <w:pPr>
              <w:pStyle w:val="ListParagraph"/>
              <w:numPr>
                <w:ilvl w:val="0"/>
                <w:numId w:val="13"/>
              </w:numPr>
              <w:spacing w:after="0"/>
              <w:ind w:left="714" w:hanging="357"/>
            </w:pPr>
            <w:r>
              <w:t>Communicate and provide guidance on implementation of security policies, procedures, and other operational documents.</w:t>
            </w:r>
          </w:p>
          <w:p w14:paraId="2BA285BF" w14:textId="77777777" w:rsidR="00377869" w:rsidRPr="002341F8" w:rsidRDefault="00377869" w:rsidP="00377869">
            <w:pPr>
              <w:numPr>
                <w:ilvl w:val="0"/>
                <w:numId w:val="0"/>
              </w:numPr>
              <w:spacing w:before="120"/>
            </w:pPr>
            <w:r w:rsidRPr="002341F8">
              <w:t>Membership of this group is defined as: </w:t>
            </w:r>
          </w:p>
          <w:p w14:paraId="14F1B480" w14:textId="1EC7265D" w:rsidR="00377869" w:rsidRPr="00A33B70" w:rsidRDefault="00377869" w:rsidP="00A33B70">
            <w:pPr>
              <w:pStyle w:val="ListParagraph"/>
              <w:numPr>
                <w:ilvl w:val="0"/>
                <w:numId w:val="13"/>
              </w:numPr>
              <w:spacing w:after="0"/>
              <w:ind w:left="714" w:hanging="357"/>
              <w:rPr>
                <w:highlight w:val="yellow"/>
              </w:rPr>
            </w:pPr>
            <w:r w:rsidRPr="00A33B70">
              <w:rPr>
                <w:highlight w:val="yellow"/>
              </w:rPr>
              <w:t>Security Program Owner </w:t>
            </w:r>
          </w:p>
          <w:p w14:paraId="59177BF9" w14:textId="3AC6ECF3" w:rsidR="00462D1C" w:rsidRPr="00A33B70" w:rsidRDefault="00462D1C" w:rsidP="00A33B70">
            <w:pPr>
              <w:pStyle w:val="ListParagraph"/>
              <w:numPr>
                <w:ilvl w:val="0"/>
                <w:numId w:val="13"/>
              </w:numPr>
              <w:spacing w:after="0"/>
              <w:ind w:left="714" w:hanging="357"/>
              <w:rPr>
                <w:highlight w:val="yellow"/>
              </w:rPr>
            </w:pPr>
            <w:r w:rsidRPr="00A33B70">
              <w:rPr>
                <w:highlight w:val="yellow"/>
              </w:rPr>
              <w:t>Security Program Coordinator</w:t>
            </w:r>
          </w:p>
          <w:p w14:paraId="17A64A40" w14:textId="1D8C05CF" w:rsidR="00377869" w:rsidRPr="00A33B70" w:rsidRDefault="00377869" w:rsidP="00A33B70">
            <w:pPr>
              <w:pStyle w:val="ListParagraph"/>
              <w:numPr>
                <w:ilvl w:val="0"/>
                <w:numId w:val="13"/>
              </w:numPr>
              <w:spacing w:after="0"/>
              <w:ind w:left="714" w:hanging="357"/>
              <w:rPr>
                <w:highlight w:val="yellow"/>
              </w:rPr>
            </w:pPr>
            <w:r w:rsidRPr="00A33B70">
              <w:rPr>
                <w:highlight w:val="yellow"/>
              </w:rPr>
              <w:lastRenderedPageBreak/>
              <w:t>[</w:t>
            </w:r>
            <w:r w:rsidR="00462D1C" w:rsidRPr="00A33B70">
              <w:rPr>
                <w:highlight w:val="yellow"/>
              </w:rPr>
              <w:t>Optional – Information and ICT Security Advisor</w:t>
            </w:r>
            <w:r w:rsidRPr="00A33B70">
              <w:rPr>
                <w:highlight w:val="yellow"/>
              </w:rPr>
              <w:t>]  </w:t>
            </w:r>
          </w:p>
          <w:p w14:paraId="58F036D2" w14:textId="71966EA2" w:rsidR="00462D1C" w:rsidRPr="00A33B70" w:rsidRDefault="00462D1C" w:rsidP="00A33B70">
            <w:pPr>
              <w:pStyle w:val="ListParagraph"/>
              <w:numPr>
                <w:ilvl w:val="0"/>
                <w:numId w:val="13"/>
              </w:numPr>
              <w:spacing w:after="0"/>
              <w:ind w:left="714" w:hanging="357"/>
              <w:rPr>
                <w:highlight w:val="yellow"/>
              </w:rPr>
            </w:pPr>
            <w:r w:rsidRPr="00A33B70">
              <w:rPr>
                <w:highlight w:val="yellow"/>
              </w:rPr>
              <w:t>[Optional – Personnel Security Advisor]  </w:t>
            </w:r>
          </w:p>
          <w:p w14:paraId="74CA4411" w14:textId="4BFB275C" w:rsidR="00462D1C" w:rsidRPr="00A33B70" w:rsidRDefault="00377869" w:rsidP="00A33B70">
            <w:pPr>
              <w:pStyle w:val="ListParagraph"/>
              <w:numPr>
                <w:ilvl w:val="0"/>
                <w:numId w:val="13"/>
              </w:numPr>
              <w:spacing w:after="0"/>
              <w:ind w:left="714" w:hanging="357"/>
              <w:rPr>
                <w:highlight w:val="yellow"/>
              </w:rPr>
            </w:pPr>
            <w:r w:rsidRPr="00A33B70">
              <w:rPr>
                <w:highlight w:val="yellow"/>
              </w:rPr>
              <w:t>[</w:t>
            </w:r>
            <w:r w:rsidR="00462D1C" w:rsidRPr="00A33B70">
              <w:rPr>
                <w:highlight w:val="yellow"/>
              </w:rPr>
              <w:t>Optional – Facilities Security Advisor</w:t>
            </w:r>
            <w:r w:rsidRPr="00A33B70">
              <w:rPr>
                <w:highlight w:val="yellow"/>
              </w:rPr>
              <w:t>]</w:t>
            </w:r>
          </w:p>
          <w:p w14:paraId="6B4B3EBA" w14:textId="77777777" w:rsidR="00377869" w:rsidRDefault="00377869" w:rsidP="00377869">
            <w:pPr>
              <w:numPr>
                <w:ilvl w:val="0"/>
                <w:numId w:val="0"/>
              </w:numPr>
              <w:spacing w:before="120"/>
            </w:pPr>
            <w:r w:rsidRPr="00377869">
              <w:t xml:space="preserve">Membership may change based on operational requirements, and support and advisory groups </w:t>
            </w:r>
            <w:r>
              <w:t>will</w:t>
            </w:r>
            <w:r w:rsidRPr="00377869">
              <w:t xml:space="preserve"> be invited as needed to attend meetings.</w:t>
            </w:r>
          </w:p>
          <w:p w14:paraId="00DACF85" w14:textId="72D9840A" w:rsidR="00377869" w:rsidRPr="00377869" w:rsidRDefault="00377869" w:rsidP="00377869">
            <w:pPr>
              <w:numPr>
                <w:ilvl w:val="0"/>
                <w:numId w:val="0"/>
              </w:numPr>
              <w:spacing w:before="120"/>
            </w:pPr>
            <w:r>
              <w:t>T</w:t>
            </w:r>
            <w:r w:rsidRPr="00377869">
              <w:t>he security working group w</w:t>
            </w:r>
            <w:r>
              <w:t xml:space="preserve">ill </w:t>
            </w:r>
            <w:r w:rsidRPr="00377869">
              <w:t xml:space="preserve">meet at least </w:t>
            </w:r>
            <w:r w:rsidRPr="00377869">
              <w:rPr>
                <w:highlight w:val="yellow"/>
              </w:rPr>
              <w:t>[monthly]</w:t>
            </w:r>
            <w:r w:rsidRPr="00377869">
              <w:t xml:space="preserve"> to maintain visibility of the operations and effectiveness of the security program.</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5423C50A" w14:textId="75D8D7B1" w:rsidR="00377869" w:rsidRPr="002341F8" w:rsidRDefault="00377869" w:rsidP="00377869">
            <w:pPr>
              <w:numPr>
                <w:ilvl w:val="0"/>
                <w:numId w:val="0"/>
              </w:numPr>
              <w:spacing w:before="120"/>
            </w:pPr>
            <w:r w:rsidRPr="002341F8">
              <w:lastRenderedPageBreak/>
              <w:t>Strong understanding of security concepts and requirements. </w:t>
            </w:r>
          </w:p>
          <w:p w14:paraId="6557C50E" w14:textId="7B4AF9D4" w:rsidR="00377869" w:rsidRPr="00377869" w:rsidRDefault="00377869" w:rsidP="00377869">
            <w:pPr>
              <w:numPr>
                <w:ilvl w:val="0"/>
                <w:numId w:val="0"/>
              </w:numPr>
              <w:spacing w:before="120"/>
              <w:rPr>
                <w:b/>
                <w:bCs/>
                <w:i/>
                <w:iCs/>
              </w:rPr>
            </w:pPr>
            <w:r w:rsidRPr="002341F8">
              <w:t>Authority over the respective departments to approve and implement security controls. </w:t>
            </w:r>
          </w:p>
        </w:tc>
      </w:tr>
      <w:tr w:rsidR="00377869" w:rsidRPr="002341F8" w14:paraId="13399C96" w14:textId="77777777" w:rsidTr="00377869">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02D8AF0A" w14:textId="35FCE831" w:rsidR="00377869" w:rsidRPr="00C71252" w:rsidRDefault="00462D1C" w:rsidP="00377869">
            <w:pPr>
              <w:numPr>
                <w:ilvl w:val="0"/>
                <w:numId w:val="0"/>
              </w:numPr>
              <w:spacing w:before="120"/>
              <w:rPr>
                <w:b/>
                <w:bCs/>
                <w:i/>
                <w:iCs/>
              </w:rPr>
            </w:pPr>
            <w:r>
              <w:rPr>
                <w:b/>
                <w:bCs/>
                <w:i/>
                <w:iCs/>
              </w:rPr>
              <w:t xml:space="preserve">Security Program </w:t>
            </w:r>
            <w:r w:rsidR="00377869" w:rsidRPr="00C71252">
              <w:rPr>
                <w:b/>
                <w:bCs/>
                <w:i/>
                <w:iCs/>
              </w:rPr>
              <w:t>Owner</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708EC7B4" w14:textId="0CF4CCB7" w:rsidR="00462D1C" w:rsidRDefault="00462D1C" w:rsidP="00377869">
            <w:pPr>
              <w:numPr>
                <w:ilvl w:val="0"/>
                <w:numId w:val="0"/>
              </w:numPr>
              <w:spacing w:before="120"/>
            </w:pPr>
            <w:r>
              <w:t>The security program owner is accountable for the successful operation of the program; and is expected to:</w:t>
            </w:r>
          </w:p>
          <w:p w14:paraId="5C5FCEBC" w14:textId="77777777" w:rsidR="00462D1C" w:rsidRDefault="00462D1C" w:rsidP="00A33B70">
            <w:pPr>
              <w:pStyle w:val="ListParagraph"/>
              <w:numPr>
                <w:ilvl w:val="0"/>
                <w:numId w:val="13"/>
              </w:numPr>
              <w:spacing w:after="0"/>
              <w:ind w:left="714" w:hanging="357"/>
            </w:pPr>
            <w:r>
              <w:t>Provide visibility of the program to senior leadership;</w:t>
            </w:r>
          </w:p>
          <w:p w14:paraId="628AF7A2" w14:textId="77777777" w:rsidR="00462D1C" w:rsidRDefault="00462D1C" w:rsidP="00A33B70">
            <w:pPr>
              <w:pStyle w:val="ListParagraph"/>
              <w:numPr>
                <w:ilvl w:val="0"/>
                <w:numId w:val="13"/>
              </w:numPr>
              <w:spacing w:after="0"/>
              <w:ind w:left="714" w:hanging="357"/>
            </w:pPr>
            <w:r>
              <w:t>Monitor and report to senior leadership on the effectiveness of the program;</w:t>
            </w:r>
          </w:p>
          <w:p w14:paraId="084AFA91" w14:textId="719AF7BF" w:rsidR="00462D1C" w:rsidRDefault="00462D1C" w:rsidP="00A33B70">
            <w:pPr>
              <w:pStyle w:val="ListParagraph"/>
              <w:numPr>
                <w:ilvl w:val="0"/>
                <w:numId w:val="13"/>
              </w:numPr>
              <w:spacing w:after="0"/>
              <w:ind w:left="714" w:hanging="357"/>
            </w:pPr>
            <w:r>
              <w:t>Facilitate the provision of adequate training to ensure sound security practices are understood by all personnel and effective security controls are implemented;</w:t>
            </w:r>
          </w:p>
          <w:p w14:paraId="3F7B31B1" w14:textId="77777777" w:rsidR="00462D1C" w:rsidRDefault="00462D1C" w:rsidP="00A33B70">
            <w:pPr>
              <w:pStyle w:val="ListParagraph"/>
              <w:numPr>
                <w:ilvl w:val="0"/>
                <w:numId w:val="13"/>
              </w:numPr>
              <w:spacing w:after="0"/>
              <w:ind w:left="714" w:hanging="357"/>
            </w:pPr>
            <w:r>
              <w:t xml:space="preserve">Review and approve security working group recommendations on </w:t>
            </w:r>
          </w:p>
          <w:p w14:paraId="742E22CC" w14:textId="77777777" w:rsidR="00462D1C" w:rsidRDefault="00462D1C" w:rsidP="00A33B70">
            <w:pPr>
              <w:pStyle w:val="ListParagraph"/>
              <w:numPr>
                <w:ilvl w:val="1"/>
                <w:numId w:val="13"/>
              </w:numPr>
              <w:spacing w:after="0"/>
            </w:pPr>
            <w:r>
              <w:t xml:space="preserve">major security incidents, </w:t>
            </w:r>
          </w:p>
          <w:p w14:paraId="28F9E199" w14:textId="77777777" w:rsidR="00462D1C" w:rsidRDefault="00462D1C" w:rsidP="00A33B70">
            <w:pPr>
              <w:pStyle w:val="ListParagraph"/>
              <w:numPr>
                <w:ilvl w:val="1"/>
                <w:numId w:val="13"/>
              </w:numPr>
              <w:spacing w:after="0"/>
            </w:pPr>
            <w:r>
              <w:t xml:space="preserve">risks and risk treatment plans, </w:t>
            </w:r>
          </w:p>
          <w:p w14:paraId="15507D3B" w14:textId="77777777" w:rsidR="00462D1C" w:rsidRDefault="00462D1C" w:rsidP="00A33B70">
            <w:pPr>
              <w:pStyle w:val="ListParagraph"/>
              <w:numPr>
                <w:ilvl w:val="1"/>
                <w:numId w:val="13"/>
              </w:numPr>
              <w:spacing w:after="0"/>
            </w:pPr>
            <w:r>
              <w:t xml:space="preserve">adequacy of response and controls, </w:t>
            </w:r>
          </w:p>
          <w:p w14:paraId="4BE10152" w14:textId="77777777" w:rsidR="00462D1C" w:rsidRDefault="00462D1C" w:rsidP="00A33B70">
            <w:pPr>
              <w:pStyle w:val="ListParagraph"/>
              <w:numPr>
                <w:ilvl w:val="1"/>
                <w:numId w:val="13"/>
              </w:numPr>
              <w:spacing w:after="0"/>
            </w:pPr>
            <w:r>
              <w:t xml:space="preserve">security audits, and </w:t>
            </w:r>
          </w:p>
          <w:p w14:paraId="11FC8C2C" w14:textId="77777777" w:rsidR="00462D1C" w:rsidRDefault="00462D1C" w:rsidP="00A33B70">
            <w:pPr>
              <w:pStyle w:val="ListParagraph"/>
              <w:numPr>
                <w:ilvl w:val="1"/>
                <w:numId w:val="13"/>
              </w:numPr>
              <w:spacing w:after="0"/>
            </w:pPr>
            <w:r>
              <w:t>corrective actions and improvements taken; and</w:t>
            </w:r>
          </w:p>
          <w:p w14:paraId="209A1E3F" w14:textId="611F4814" w:rsidR="00462D1C" w:rsidRDefault="00462D1C" w:rsidP="00A33B70">
            <w:pPr>
              <w:pStyle w:val="ListParagraph"/>
              <w:numPr>
                <w:ilvl w:val="0"/>
                <w:numId w:val="13"/>
              </w:numPr>
              <w:spacing w:after="0"/>
              <w:ind w:left="714" w:hanging="357"/>
            </w:pPr>
            <w:r>
              <w:t>Review and approve core security documentation and artefacts.</w:t>
            </w:r>
          </w:p>
          <w:p w14:paraId="3645F04C" w14:textId="4E4742FE" w:rsidR="00377869" w:rsidRPr="002341F8" w:rsidRDefault="00462D1C" w:rsidP="00462D1C">
            <w:pPr>
              <w:numPr>
                <w:ilvl w:val="0"/>
                <w:numId w:val="0"/>
              </w:numPr>
              <w:spacing w:before="120"/>
            </w:pPr>
            <w:r>
              <w:t xml:space="preserve">The Security Program Owner function is currently fulfilled by the </w:t>
            </w:r>
            <w:r w:rsidRPr="00462D1C">
              <w:rPr>
                <w:highlight w:val="yellow"/>
              </w:rPr>
              <w:t>[Chief X Officer]</w:t>
            </w:r>
            <w:r>
              <w:t>.</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34205F70" w14:textId="77777777" w:rsidR="00377869" w:rsidRPr="002341F8" w:rsidRDefault="00377869" w:rsidP="00377869">
            <w:pPr>
              <w:numPr>
                <w:ilvl w:val="0"/>
                <w:numId w:val="0"/>
              </w:numPr>
              <w:spacing w:before="120"/>
            </w:pPr>
            <w:r w:rsidRPr="002341F8">
              <w:t>Good understanding of the organisation and strategic objectives. </w:t>
            </w:r>
          </w:p>
          <w:p w14:paraId="58FA1EA2" w14:textId="42482D62" w:rsidR="00377869" w:rsidRPr="002341F8" w:rsidRDefault="00377869" w:rsidP="00377869">
            <w:pPr>
              <w:numPr>
                <w:ilvl w:val="0"/>
                <w:numId w:val="0"/>
              </w:numPr>
              <w:spacing w:before="120"/>
            </w:pPr>
            <w:r w:rsidRPr="002341F8">
              <w:t>Strong understanding of security concepts and requirements. </w:t>
            </w:r>
          </w:p>
          <w:p w14:paraId="0E76099E" w14:textId="77777777" w:rsidR="00377869" w:rsidRPr="002341F8" w:rsidRDefault="00377869" w:rsidP="00377869">
            <w:pPr>
              <w:numPr>
                <w:ilvl w:val="0"/>
                <w:numId w:val="0"/>
              </w:numPr>
              <w:spacing w:before="120"/>
            </w:pPr>
            <w:r w:rsidRPr="002341F8">
              <w:t>Authority to assign resources. </w:t>
            </w:r>
          </w:p>
          <w:p w14:paraId="615BA0ED" w14:textId="77777777" w:rsidR="00377869" w:rsidRPr="002341F8" w:rsidRDefault="00377869" w:rsidP="00377869">
            <w:pPr>
              <w:numPr>
                <w:ilvl w:val="0"/>
                <w:numId w:val="0"/>
              </w:numPr>
              <w:spacing w:before="120"/>
            </w:pPr>
            <w:r w:rsidRPr="002341F8">
              <w:t>Authority to approve procedures. </w:t>
            </w:r>
          </w:p>
        </w:tc>
      </w:tr>
      <w:tr w:rsidR="00377869" w:rsidRPr="002341F8" w14:paraId="2D5374B8" w14:textId="77777777" w:rsidTr="00377869">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2438DCF8" w14:textId="55A3D433" w:rsidR="00377869" w:rsidRPr="00C71252" w:rsidRDefault="00462D1C" w:rsidP="00377869">
            <w:pPr>
              <w:numPr>
                <w:ilvl w:val="0"/>
                <w:numId w:val="0"/>
              </w:numPr>
              <w:spacing w:before="120"/>
              <w:rPr>
                <w:b/>
                <w:bCs/>
                <w:i/>
                <w:iCs/>
              </w:rPr>
            </w:pPr>
            <w:r>
              <w:rPr>
                <w:b/>
                <w:bCs/>
                <w:i/>
                <w:iCs/>
              </w:rPr>
              <w:t>Security Program Coordinator</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5A38B054" w14:textId="1E6B7EF0" w:rsidR="00462D1C" w:rsidRDefault="00462D1C" w:rsidP="00377869">
            <w:pPr>
              <w:numPr>
                <w:ilvl w:val="0"/>
                <w:numId w:val="0"/>
              </w:numPr>
              <w:spacing w:before="120"/>
            </w:pPr>
            <w:r>
              <w:t>The security program coordinator is responsible for the overall operation and administration of the program; and is expected to:</w:t>
            </w:r>
          </w:p>
          <w:p w14:paraId="559E40FC" w14:textId="24D1FDEB" w:rsidR="00462D1C" w:rsidRPr="00A738FB" w:rsidRDefault="00462D1C" w:rsidP="00A33B70">
            <w:pPr>
              <w:pStyle w:val="ListParagraph"/>
              <w:numPr>
                <w:ilvl w:val="0"/>
                <w:numId w:val="13"/>
              </w:numPr>
              <w:spacing w:after="0"/>
              <w:ind w:left="714" w:hanging="357"/>
            </w:pPr>
            <w:r w:rsidRPr="00A738FB">
              <w:t>Organis</w:t>
            </w:r>
            <w:r>
              <w:t>e</w:t>
            </w:r>
            <w:r w:rsidRPr="00A738FB">
              <w:t xml:space="preserve"> and chair the </w:t>
            </w:r>
            <w:r w:rsidRPr="00A33B70">
              <w:rPr>
                <w:highlight w:val="yellow"/>
              </w:rPr>
              <w:t>[Security Working Group]</w:t>
            </w:r>
            <w:r>
              <w:t>;</w:t>
            </w:r>
          </w:p>
          <w:p w14:paraId="332FD67E" w14:textId="77777777" w:rsidR="00462D1C" w:rsidRPr="00A738FB" w:rsidRDefault="00462D1C" w:rsidP="00A33B70">
            <w:pPr>
              <w:pStyle w:val="ListParagraph"/>
              <w:numPr>
                <w:ilvl w:val="0"/>
                <w:numId w:val="13"/>
              </w:numPr>
              <w:spacing w:after="0"/>
              <w:ind w:left="714" w:hanging="357"/>
            </w:pPr>
            <w:r w:rsidRPr="00A738FB">
              <w:t>Ensur</w:t>
            </w:r>
            <w:r>
              <w:t>e</w:t>
            </w:r>
            <w:r w:rsidRPr="00A738FB">
              <w:t xml:space="preserve"> activities documented in the security calendar are scheduled and performed</w:t>
            </w:r>
            <w:r>
              <w:t>;</w:t>
            </w:r>
          </w:p>
          <w:p w14:paraId="4D447C89" w14:textId="77777777" w:rsidR="00462D1C" w:rsidRPr="00A738FB" w:rsidRDefault="00462D1C" w:rsidP="00A33B70">
            <w:pPr>
              <w:pStyle w:val="ListParagraph"/>
              <w:numPr>
                <w:ilvl w:val="0"/>
                <w:numId w:val="13"/>
              </w:numPr>
              <w:spacing w:after="0"/>
              <w:ind w:left="714" w:hanging="357"/>
            </w:pPr>
            <w:r w:rsidRPr="00A738FB">
              <w:t>Escalat</w:t>
            </w:r>
            <w:r>
              <w:t>e</w:t>
            </w:r>
            <w:r w:rsidRPr="00A738FB">
              <w:t xml:space="preserve"> any issues, as necessary, to the </w:t>
            </w:r>
            <w:r>
              <w:t xml:space="preserve">security program </w:t>
            </w:r>
            <w:r w:rsidRPr="00A738FB">
              <w:t>owner</w:t>
            </w:r>
            <w:r>
              <w:t>;</w:t>
            </w:r>
          </w:p>
          <w:p w14:paraId="576A68AA" w14:textId="77777777" w:rsidR="00462D1C" w:rsidRPr="00A738FB" w:rsidRDefault="00462D1C" w:rsidP="00A33B70">
            <w:pPr>
              <w:pStyle w:val="ListParagraph"/>
              <w:numPr>
                <w:ilvl w:val="0"/>
                <w:numId w:val="13"/>
              </w:numPr>
              <w:spacing w:after="0"/>
              <w:ind w:left="714" w:hanging="357"/>
            </w:pPr>
            <w:r w:rsidRPr="00A738FB">
              <w:t>Monitor</w:t>
            </w:r>
            <w:r>
              <w:t xml:space="preserve"> </w:t>
            </w:r>
            <w:r w:rsidRPr="00A738FB">
              <w:t>security incident investigations and corrective actions</w:t>
            </w:r>
            <w:r>
              <w:t>;</w:t>
            </w:r>
          </w:p>
          <w:p w14:paraId="283E13E2" w14:textId="06B2BBD7" w:rsidR="00462D1C" w:rsidRPr="00A738FB" w:rsidRDefault="00462D1C" w:rsidP="00A33B70">
            <w:pPr>
              <w:pStyle w:val="ListParagraph"/>
              <w:numPr>
                <w:ilvl w:val="0"/>
                <w:numId w:val="13"/>
              </w:numPr>
              <w:spacing w:after="0"/>
              <w:ind w:left="714" w:hanging="357"/>
            </w:pPr>
            <w:r w:rsidRPr="00A738FB">
              <w:lastRenderedPageBreak/>
              <w:t>Highlight</w:t>
            </w:r>
            <w:r>
              <w:t xml:space="preserve"> significant </w:t>
            </w:r>
            <w:r w:rsidRPr="00A738FB">
              <w:t xml:space="preserve">security incidents to the </w:t>
            </w:r>
            <w:r w:rsidR="00A33B70" w:rsidRPr="00A33B70">
              <w:rPr>
                <w:highlight w:val="yellow"/>
              </w:rPr>
              <w:t>[</w:t>
            </w:r>
            <w:r w:rsidRPr="00A33B70">
              <w:rPr>
                <w:highlight w:val="yellow"/>
              </w:rPr>
              <w:t>Security Working Group</w:t>
            </w:r>
            <w:r w:rsidR="00A33B70" w:rsidRPr="00A33B70">
              <w:rPr>
                <w:highlight w:val="yellow"/>
              </w:rPr>
              <w:t>]</w:t>
            </w:r>
            <w:r>
              <w:t>;</w:t>
            </w:r>
          </w:p>
          <w:p w14:paraId="708D7B92" w14:textId="081D2479" w:rsidR="00462D1C" w:rsidRPr="00A738FB" w:rsidRDefault="00462D1C" w:rsidP="00A33B70">
            <w:pPr>
              <w:pStyle w:val="ListParagraph"/>
              <w:numPr>
                <w:ilvl w:val="0"/>
                <w:numId w:val="13"/>
              </w:numPr>
              <w:spacing w:after="0"/>
              <w:ind w:left="714" w:hanging="357"/>
            </w:pPr>
            <w:r w:rsidRPr="00A738FB">
              <w:t>Ensur</w:t>
            </w:r>
            <w:r>
              <w:t>e</w:t>
            </w:r>
            <w:r w:rsidRPr="00A738FB">
              <w:t xml:space="preserve"> operational security activities are performed</w:t>
            </w:r>
            <w:r>
              <w:t>;</w:t>
            </w:r>
          </w:p>
          <w:p w14:paraId="7ECA9243" w14:textId="77777777" w:rsidR="00462D1C" w:rsidRPr="00A738FB" w:rsidRDefault="00462D1C" w:rsidP="00A33B70">
            <w:pPr>
              <w:pStyle w:val="ListParagraph"/>
              <w:numPr>
                <w:ilvl w:val="0"/>
                <w:numId w:val="13"/>
              </w:numPr>
              <w:spacing w:after="0"/>
              <w:ind w:left="714" w:hanging="357"/>
            </w:pPr>
            <w:r w:rsidRPr="00A738FB">
              <w:t>Coordinat</w:t>
            </w:r>
            <w:r>
              <w:t xml:space="preserve">e </w:t>
            </w:r>
            <w:r w:rsidRPr="00A738FB">
              <w:t>with external security vendors and specialists for expert advice</w:t>
            </w:r>
            <w:r>
              <w:t>; and</w:t>
            </w:r>
          </w:p>
          <w:p w14:paraId="3C5A08DB" w14:textId="77777777" w:rsidR="00462D1C" w:rsidRPr="00A738FB" w:rsidRDefault="00462D1C" w:rsidP="00A33B70">
            <w:pPr>
              <w:pStyle w:val="ListParagraph"/>
              <w:numPr>
                <w:ilvl w:val="0"/>
                <w:numId w:val="13"/>
              </w:numPr>
              <w:spacing w:after="0"/>
              <w:ind w:left="714" w:hanging="357"/>
            </w:pPr>
            <w:r w:rsidRPr="00A738FB">
              <w:t xml:space="preserve">Report on various aspects of the </w:t>
            </w:r>
            <w:r>
              <w:t xml:space="preserve">security program, </w:t>
            </w:r>
            <w:r w:rsidRPr="00A738FB">
              <w:t>including security metrics, outstanding issues, and progress of the actions in risk treatment plans.</w:t>
            </w:r>
          </w:p>
          <w:p w14:paraId="022101CE" w14:textId="618EA11C" w:rsidR="00377869" w:rsidRPr="002341F8" w:rsidRDefault="00462D1C" w:rsidP="00462D1C">
            <w:pPr>
              <w:numPr>
                <w:ilvl w:val="0"/>
                <w:numId w:val="0"/>
              </w:numPr>
              <w:spacing w:before="120"/>
            </w:pPr>
            <w:r>
              <w:t xml:space="preserve">The Security Program Coordinator function is currently fulfilled by the </w:t>
            </w:r>
            <w:r w:rsidRPr="00462D1C">
              <w:rPr>
                <w:highlight w:val="yellow"/>
              </w:rPr>
              <w:t>[</w:t>
            </w:r>
            <w:r>
              <w:rPr>
                <w:highlight w:val="yellow"/>
              </w:rPr>
              <w:t>Role</w:t>
            </w:r>
            <w:r w:rsidRPr="00462D1C">
              <w:rPr>
                <w:highlight w:val="yellow"/>
              </w:rPr>
              <w:t>]</w:t>
            </w:r>
            <w:r>
              <w:t>.</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474EF0E3" w14:textId="58B08602" w:rsidR="00377869" w:rsidRPr="002341F8" w:rsidRDefault="00377869" w:rsidP="00377869">
            <w:pPr>
              <w:numPr>
                <w:ilvl w:val="0"/>
                <w:numId w:val="0"/>
              </w:numPr>
              <w:spacing w:before="120"/>
            </w:pPr>
            <w:r w:rsidRPr="002341F8">
              <w:lastRenderedPageBreak/>
              <w:t xml:space="preserve">Strong </w:t>
            </w:r>
            <w:r w:rsidR="00462D1C">
              <w:t xml:space="preserve">working knowledge and </w:t>
            </w:r>
            <w:r w:rsidRPr="002341F8">
              <w:t>operational experience in security</w:t>
            </w:r>
            <w:r w:rsidR="00462D1C">
              <w:t xml:space="preserve"> risk management</w:t>
            </w:r>
            <w:r w:rsidRPr="002341F8">
              <w:t>. </w:t>
            </w:r>
          </w:p>
          <w:p w14:paraId="41F34965" w14:textId="10974D13" w:rsidR="00377869" w:rsidRPr="002341F8" w:rsidRDefault="00377869" w:rsidP="00377869">
            <w:pPr>
              <w:numPr>
                <w:ilvl w:val="0"/>
                <w:numId w:val="0"/>
              </w:numPr>
              <w:spacing w:before="120"/>
            </w:pPr>
            <w:r w:rsidRPr="002341F8">
              <w:t>Industry recognised security</w:t>
            </w:r>
            <w:r w:rsidR="00462D1C">
              <w:t xml:space="preserve"> risk management</w:t>
            </w:r>
            <w:r w:rsidRPr="002341F8">
              <w:t xml:space="preserve"> qualification. </w:t>
            </w:r>
          </w:p>
        </w:tc>
      </w:tr>
      <w:tr w:rsidR="00377869" w:rsidRPr="002341F8" w14:paraId="0355526E" w14:textId="77777777" w:rsidTr="00377869">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7F646265" w14:textId="77777777" w:rsidR="00377869" w:rsidRPr="00C71252" w:rsidRDefault="00377869" w:rsidP="00377869">
            <w:pPr>
              <w:numPr>
                <w:ilvl w:val="0"/>
                <w:numId w:val="0"/>
              </w:numPr>
              <w:spacing w:before="120"/>
              <w:rPr>
                <w:b/>
                <w:bCs/>
                <w:i/>
                <w:iCs/>
              </w:rPr>
            </w:pPr>
            <w:r w:rsidRPr="00C71252">
              <w:rPr>
                <w:b/>
                <w:bCs/>
                <w:i/>
                <w:iCs/>
              </w:rPr>
              <w:t>Advisory Groups</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3015196B" w14:textId="77777777" w:rsidR="00A33B70" w:rsidRDefault="00A33B70" w:rsidP="00A33B70">
            <w:pPr>
              <w:numPr>
                <w:ilvl w:val="0"/>
                <w:numId w:val="0"/>
              </w:numPr>
              <w:spacing w:before="120"/>
            </w:pPr>
            <w:r>
              <w:t xml:space="preserve">Support and advisory groups consist of the functions throughout the council who have direct input or control over activities required to adequately mitigate security risks. These activities tend fall outside the remit of the leadership personnel involved in the security working group, which require an additional group to manage them. </w:t>
            </w:r>
          </w:p>
          <w:p w14:paraId="491FC1B0" w14:textId="23BB5EBE" w:rsidR="00377869" w:rsidRPr="002341F8" w:rsidRDefault="00377869" w:rsidP="00377869">
            <w:pPr>
              <w:numPr>
                <w:ilvl w:val="0"/>
                <w:numId w:val="0"/>
              </w:numPr>
              <w:spacing w:before="120"/>
            </w:pPr>
            <w:r w:rsidRPr="00A33B70">
              <w:rPr>
                <w:highlight w:val="yellow"/>
              </w:rPr>
              <w:t xml:space="preserve">[Security </w:t>
            </w:r>
            <w:r w:rsidR="00462D1C" w:rsidRPr="00A33B70">
              <w:rPr>
                <w:highlight w:val="yellow"/>
              </w:rPr>
              <w:t>Working Group</w:t>
            </w:r>
            <w:r w:rsidRPr="00A33B70">
              <w:rPr>
                <w:highlight w:val="yellow"/>
              </w:rPr>
              <w:t>]</w:t>
            </w:r>
            <w:r w:rsidRPr="002341F8">
              <w:t xml:space="preserve"> members and the </w:t>
            </w:r>
            <w:r w:rsidR="00A33B70">
              <w:t>security program</w:t>
            </w:r>
            <w:r w:rsidRPr="002341F8">
              <w:t xml:space="preserve"> owner may consult these groups as required to address any legal, regulatory or control issues. </w:t>
            </w:r>
          </w:p>
          <w:p w14:paraId="625666A9" w14:textId="1F6F6D01" w:rsidR="00377869" w:rsidRPr="002341F8" w:rsidRDefault="00377869" w:rsidP="00377869">
            <w:pPr>
              <w:numPr>
                <w:ilvl w:val="0"/>
                <w:numId w:val="0"/>
              </w:numPr>
              <w:spacing w:before="120"/>
            </w:pPr>
            <w:r w:rsidRPr="002341F8">
              <w:t xml:space="preserve">These groups may also advise the </w:t>
            </w:r>
            <w:r w:rsidR="00A33B70" w:rsidRPr="00A33B70">
              <w:rPr>
                <w:highlight w:val="yellow"/>
              </w:rPr>
              <w:t>[Security Working Group]</w:t>
            </w:r>
            <w:r w:rsidR="00A33B70" w:rsidRPr="002341F8">
              <w:t xml:space="preserve"> </w:t>
            </w:r>
            <w:r w:rsidRPr="002341F8">
              <w:t xml:space="preserve">in case of important changes in legislation, regulations or technology that may impact the </w:t>
            </w:r>
            <w:r w:rsidR="00A33B70">
              <w:t>security program</w:t>
            </w:r>
            <w:r w:rsidRPr="002341F8">
              <w:t>. </w:t>
            </w:r>
          </w:p>
          <w:p w14:paraId="27AD468D" w14:textId="23D25BCA" w:rsidR="00377869" w:rsidRPr="002341F8" w:rsidRDefault="00377869" w:rsidP="00377869">
            <w:pPr>
              <w:numPr>
                <w:ilvl w:val="0"/>
                <w:numId w:val="0"/>
              </w:numPr>
              <w:spacing w:before="120"/>
            </w:pPr>
            <w:r w:rsidRPr="002341F8">
              <w:t>The following personnel or groups may be required to provide advice or support upon request of the</w:t>
            </w:r>
            <w:r w:rsidR="00A33B70">
              <w:t xml:space="preserve"> </w:t>
            </w:r>
            <w:r w:rsidR="00A33B70" w:rsidRPr="00A33B70">
              <w:rPr>
                <w:highlight w:val="yellow"/>
              </w:rPr>
              <w:t>[Security Working Group]</w:t>
            </w:r>
            <w:r w:rsidRPr="002341F8">
              <w:t>: </w:t>
            </w:r>
          </w:p>
          <w:p w14:paraId="3D784AF1" w14:textId="3377ABD0" w:rsidR="00377869" w:rsidRPr="00A33B70" w:rsidRDefault="00A33B70" w:rsidP="00A33B70">
            <w:pPr>
              <w:pStyle w:val="ListParagraph"/>
              <w:numPr>
                <w:ilvl w:val="0"/>
                <w:numId w:val="13"/>
              </w:numPr>
              <w:spacing w:after="0"/>
              <w:ind w:left="714" w:hanging="357"/>
              <w:rPr>
                <w:highlight w:val="yellow"/>
              </w:rPr>
            </w:pPr>
            <w:r w:rsidRPr="00A33B70">
              <w:rPr>
                <w:highlight w:val="yellow"/>
              </w:rPr>
              <w:t>Role – ICT and Information Security Advisor</w:t>
            </w:r>
          </w:p>
          <w:p w14:paraId="29BFDE3F" w14:textId="40BDE4BD" w:rsidR="00A33B70" w:rsidRPr="00A33B70" w:rsidRDefault="00A33B70" w:rsidP="00A33B70">
            <w:pPr>
              <w:pStyle w:val="ListParagraph"/>
              <w:numPr>
                <w:ilvl w:val="0"/>
                <w:numId w:val="13"/>
              </w:numPr>
              <w:spacing w:after="0"/>
              <w:ind w:left="714" w:hanging="357"/>
              <w:rPr>
                <w:highlight w:val="yellow"/>
              </w:rPr>
            </w:pPr>
            <w:r w:rsidRPr="00A33B70">
              <w:rPr>
                <w:highlight w:val="yellow"/>
              </w:rPr>
              <w:t>Role – Personnel Security Advisor</w:t>
            </w:r>
          </w:p>
          <w:p w14:paraId="4ADFD079" w14:textId="0799F98D" w:rsidR="00A33B70" w:rsidRPr="002341F8" w:rsidRDefault="00A33B70" w:rsidP="00A33B70">
            <w:pPr>
              <w:pStyle w:val="ListParagraph"/>
              <w:numPr>
                <w:ilvl w:val="0"/>
                <w:numId w:val="13"/>
              </w:numPr>
              <w:spacing w:after="0"/>
              <w:ind w:left="714" w:hanging="357"/>
            </w:pPr>
            <w:r w:rsidRPr="00A33B70">
              <w:rPr>
                <w:highlight w:val="yellow"/>
              </w:rPr>
              <w:t>Role – Facilities Security Advisor</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074D9265" w14:textId="1D090803" w:rsidR="00377869" w:rsidRPr="002341F8" w:rsidRDefault="00377869" w:rsidP="00377869">
            <w:pPr>
              <w:numPr>
                <w:ilvl w:val="0"/>
                <w:numId w:val="0"/>
              </w:numPr>
              <w:spacing w:before="120"/>
            </w:pPr>
            <w:r w:rsidRPr="002341F8">
              <w:t xml:space="preserve">Basic understanding of the </w:t>
            </w:r>
            <w:r w:rsidR="00A33B70">
              <w:t>security program</w:t>
            </w:r>
            <w:r w:rsidRPr="002341F8">
              <w:t>. </w:t>
            </w:r>
          </w:p>
          <w:p w14:paraId="45F5D767" w14:textId="1A547FFF" w:rsidR="00377869" w:rsidRPr="002341F8" w:rsidRDefault="00A33B70" w:rsidP="00377869">
            <w:pPr>
              <w:numPr>
                <w:ilvl w:val="0"/>
                <w:numId w:val="0"/>
              </w:numPr>
              <w:spacing w:before="120"/>
            </w:pPr>
            <w:r w:rsidRPr="002341F8">
              <w:t xml:space="preserve">Awareness of </w:t>
            </w:r>
            <w:r>
              <w:t xml:space="preserve">the council’s </w:t>
            </w:r>
            <w:r w:rsidRPr="002341F8">
              <w:t>security requirements. </w:t>
            </w:r>
          </w:p>
        </w:tc>
      </w:tr>
      <w:tr w:rsidR="00377869" w:rsidRPr="002341F8" w14:paraId="16AC503F" w14:textId="77777777" w:rsidTr="00377869">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7B47E86D" w14:textId="77777777" w:rsidR="00377869" w:rsidRPr="00C71252" w:rsidRDefault="00377869" w:rsidP="00377869">
            <w:pPr>
              <w:numPr>
                <w:ilvl w:val="0"/>
                <w:numId w:val="0"/>
              </w:numPr>
              <w:spacing w:before="120"/>
              <w:rPr>
                <w:b/>
                <w:bCs/>
                <w:i/>
                <w:iCs/>
              </w:rPr>
            </w:pPr>
            <w:r w:rsidRPr="00C71252">
              <w:rPr>
                <w:b/>
                <w:bCs/>
                <w:i/>
                <w:iCs/>
              </w:rPr>
              <w:t>All Personnel</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10AC8CB9" w14:textId="35DEB2D6" w:rsidR="00377869" w:rsidRPr="002341F8" w:rsidRDefault="00377869" w:rsidP="00377869">
            <w:pPr>
              <w:numPr>
                <w:ilvl w:val="0"/>
                <w:numId w:val="0"/>
              </w:numPr>
              <w:spacing w:before="120"/>
            </w:pPr>
            <w:r w:rsidRPr="002341F8">
              <w:t xml:space="preserve">All </w:t>
            </w:r>
            <w:r>
              <w:t>Council</w:t>
            </w:r>
            <w:r w:rsidRPr="002341F8">
              <w:t xml:space="preserve"> personnel are responsible for: </w:t>
            </w:r>
          </w:p>
          <w:p w14:paraId="469F47A2" w14:textId="52C5F440" w:rsidR="00377869" w:rsidRPr="002341F8" w:rsidRDefault="00377869" w:rsidP="00A33B70">
            <w:pPr>
              <w:pStyle w:val="ListParagraph"/>
              <w:numPr>
                <w:ilvl w:val="0"/>
                <w:numId w:val="13"/>
              </w:numPr>
              <w:spacing w:after="0"/>
              <w:ind w:left="714" w:hanging="357"/>
            </w:pPr>
            <w:r w:rsidRPr="002341F8">
              <w:t xml:space="preserve">Complying with the </w:t>
            </w:r>
            <w:r w:rsidR="00A33B70">
              <w:t>security program</w:t>
            </w:r>
            <w:r w:rsidRPr="002341F8">
              <w:t xml:space="preserve"> together with any supporting policies, standards, and procedures. </w:t>
            </w:r>
          </w:p>
          <w:p w14:paraId="678BF50E" w14:textId="77777777" w:rsidR="00377869" w:rsidRPr="002341F8" w:rsidRDefault="00377869" w:rsidP="00A33B70">
            <w:pPr>
              <w:pStyle w:val="ListParagraph"/>
              <w:numPr>
                <w:ilvl w:val="0"/>
                <w:numId w:val="13"/>
              </w:numPr>
              <w:spacing w:after="0"/>
              <w:ind w:left="714" w:hanging="357"/>
            </w:pPr>
            <w:r w:rsidRPr="002341F8">
              <w:t>Complying with all security controls established. </w:t>
            </w:r>
          </w:p>
          <w:p w14:paraId="7F4506CE" w14:textId="77777777" w:rsidR="00377869" w:rsidRPr="002341F8" w:rsidRDefault="00377869" w:rsidP="00A33B70">
            <w:pPr>
              <w:pStyle w:val="ListParagraph"/>
              <w:numPr>
                <w:ilvl w:val="0"/>
                <w:numId w:val="13"/>
              </w:numPr>
              <w:spacing w:after="0"/>
              <w:ind w:left="714" w:hanging="357"/>
            </w:pPr>
            <w:r w:rsidRPr="002341F8">
              <w:t>Reporting security breaches and taking necessary corrective actions. </w:t>
            </w:r>
          </w:p>
          <w:p w14:paraId="6BE12EFD" w14:textId="77777777" w:rsidR="00A33B70" w:rsidRDefault="00377869" w:rsidP="00A33B70">
            <w:pPr>
              <w:pStyle w:val="ListParagraph"/>
              <w:numPr>
                <w:ilvl w:val="0"/>
                <w:numId w:val="13"/>
              </w:numPr>
              <w:spacing w:after="0"/>
              <w:ind w:left="714" w:hanging="357"/>
            </w:pPr>
            <w:r w:rsidRPr="002341F8">
              <w:t>Taking appropriate actions to protect information assets. </w:t>
            </w:r>
          </w:p>
          <w:p w14:paraId="5731478D" w14:textId="252DDF6D" w:rsidR="00377869" w:rsidRPr="002341F8" w:rsidRDefault="00377869" w:rsidP="00A33B70">
            <w:pPr>
              <w:pStyle w:val="ListParagraph"/>
              <w:numPr>
                <w:ilvl w:val="0"/>
                <w:numId w:val="13"/>
              </w:numPr>
              <w:spacing w:after="0"/>
              <w:ind w:left="714" w:hanging="357"/>
            </w:pPr>
            <w:r w:rsidRPr="002341F8">
              <w:t>Using information processing resources only as authorised and intended by the system owner.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892DA12" w14:textId="772BD267" w:rsidR="00377869" w:rsidRPr="002341F8" w:rsidRDefault="00377869" w:rsidP="00377869">
            <w:pPr>
              <w:numPr>
                <w:ilvl w:val="0"/>
                <w:numId w:val="0"/>
              </w:numPr>
              <w:spacing w:before="120"/>
            </w:pPr>
            <w:r w:rsidRPr="002341F8">
              <w:t xml:space="preserve">Basic understanding of the </w:t>
            </w:r>
            <w:r w:rsidR="00A33B70">
              <w:t>security program</w:t>
            </w:r>
            <w:r w:rsidRPr="002341F8">
              <w:t>. </w:t>
            </w:r>
          </w:p>
          <w:p w14:paraId="54C4A2F4" w14:textId="12DD9BB7" w:rsidR="00377869" w:rsidRPr="002341F8" w:rsidRDefault="00377869" w:rsidP="00377869">
            <w:pPr>
              <w:numPr>
                <w:ilvl w:val="0"/>
                <w:numId w:val="0"/>
              </w:numPr>
              <w:spacing w:before="120"/>
            </w:pPr>
            <w:r w:rsidRPr="002341F8">
              <w:t xml:space="preserve">Awareness of </w:t>
            </w:r>
            <w:r w:rsidR="00A33B70">
              <w:t xml:space="preserve">the council’s </w:t>
            </w:r>
            <w:r w:rsidRPr="002341F8">
              <w:t>security requirements. </w:t>
            </w:r>
          </w:p>
        </w:tc>
      </w:tr>
      <w:tr w:rsidR="00377869" w:rsidRPr="002341F8" w14:paraId="67026AD6" w14:textId="77777777" w:rsidTr="00A33B70">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6B8F400D" w14:textId="571A058D" w:rsidR="00377869" w:rsidRPr="00C71252" w:rsidRDefault="00377869" w:rsidP="00377869">
            <w:pPr>
              <w:numPr>
                <w:ilvl w:val="0"/>
                <w:numId w:val="0"/>
              </w:numPr>
              <w:spacing w:before="120"/>
              <w:rPr>
                <w:b/>
                <w:bCs/>
                <w:i/>
                <w:iCs/>
              </w:rPr>
            </w:pPr>
            <w:r w:rsidRPr="00C71252">
              <w:rPr>
                <w:b/>
                <w:bCs/>
                <w:i/>
                <w:iCs/>
              </w:rPr>
              <w:lastRenderedPageBreak/>
              <w:t>Auditors</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29B5CD2B" w14:textId="77777777" w:rsidR="00FE0976" w:rsidRDefault="00377869" w:rsidP="00377869">
            <w:pPr>
              <w:numPr>
                <w:ilvl w:val="0"/>
                <w:numId w:val="0"/>
              </w:numPr>
              <w:spacing w:before="120"/>
            </w:pPr>
            <w:r w:rsidRPr="002341F8">
              <w:t xml:space="preserve">The role of the </w:t>
            </w:r>
            <w:r w:rsidR="00A33B70">
              <w:t>a</w:t>
            </w:r>
            <w:r w:rsidRPr="002341F8">
              <w:t xml:space="preserve">uditor is to conduct systematic and periodic checks to ensure the effective implementation and operations of the </w:t>
            </w:r>
            <w:r w:rsidR="00A33B70">
              <w:t>security program</w:t>
            </w:r>
            <w:r w:rsidRPr="002341F8">
              <w:t xml:space="preserve">. </w:t>
            </w:r>
          </w:p>
          <w:p w14:paraId="71991148" w14:textId="0C7E995E" w:rsidR="00377869" w:rsidRPr="002341F8" w:rsidRDefault="00377869" w:rsidP="00377869">
            <w:pPr>
              <w:numPr>
                <w:ilvl w:val="0"/>
                <w:numId w:val="0"/>
              </w:numPr>
              <w:spacing w:before="120"/>
            </w:pPr>
            <w:r w:rsidRPr="002341F8">
              <w:t xml:space="preserve">Any opportunities for improvement or areas of non-conformity are to be reported to the </w:t>
            </w:r>
            <w:r w:rsidRPr="00FE0976">
              <w:rPr>
                <w:highlight w:val="yellow"/>
              </w:rPr>
              <w:t xml:space="preserve">[Security </w:t>
            </w:r>
            <w:r w:rsidR="00FE0976" w:rsidRPr="00FE0976">
              <w:rPr>
                <w:highlight w:val="yellow"/>
              </w:rPr>
              <w:t>Working Group</w:t>
            </w:r>
            <w:r w:rsidRPr="00FE0976">
              <w:rPr>
                <w:highlight w:val="yellow"/>
              </w:rPr>
              <w:t>]</w:t>
            </w:r>
            <w:r w:rsidRPr="002341F8">
              <w:t xml:space="preserve"> and/or the </w:t>
            </w:r>
            <w:r w:rsidR="00A33B70">
              <w:t>security program</w:t>
            </w:r>
            <w:r w:rsidRPr="002341F8">
              <w:t xml:space="preserve"> owner.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1838D9FD" w14:textId="6FCE6331" w:rsidR="00377869" w:rsidRPr="002341F8" w:rsidRDefault="00377869" w:rsidP="00377869">
            <w:pPr>
              <w:numPr>
                <w:ilvl w:val="0"/>
                <w:numId w:val="0"/>
              </w:numPr>
              <w:spacing w:before="120"/>
            </w:pPr>
            <w:r w:rsidRPr="002341F8">
              <w:t>Strong understanding of security concepts and requirements</w:t>
            </w:r>
            <w:r>
              <w:t>.</w:t>
            </w:r>
          </w:p>
          <w:p w14:paraId="580F88DD" w14:textId="536F09CD" w:rsidR="00377869" w:rsidRPr="002341F8" w:rsidRDefault="00377869" w:rsidP="00377869">
            <w:pPr>
              <w:numPr>
                <w:ilvl w:val="0"/>
                <w:numId w:val="0"/>
              </w:numPr>
              <w:spacing w:before="120"/>
            </w:pPr>
            <w:r w:rsidRPr="002341F8">
              <w:t xml:space="preserve">Must be sufficiently independent from the design and deployment of the </w:t>
            </w:r>
            <w:r w:rsidR="00A33B70">
              <w:t>security program</w:t>
            </w:r>
            <w:r w:rsidRPr="002341F8">
              <w:t>. </w:t>
            </w:r>
          </w:p>
        </w:tc>
      </w:tr>
      <w:tr w:rsidR="00377869" w:rsidRPr="002341F8" w14:paraId="6005D240" w14:textId="77777777" w:rsidTr="00A33B70">
        <w:trPr>
          <w:trHeight w:val="303"/>
        </w:trPr>
        <w:tc>
          <w:tcPr>
            <w:tcW w:w="780" w:type="pct"/>
            <w:tcBorders>
              <w:top w:val="single" w:sz="4" w:space="0" w:color="auto"/>
              <w:left w:val="single" w:sz="4" w:space="0" w:color="auto"/>
              <w:bottom w:val="single" w:sz="4" w:space="0" w:color="auto"/>
              <w:right w:val="single" w:sz="4" w:space="0" w:color="auto"/>
            </w:tcBorders>
            <w:shd w:val="clear" w:color="auto" w:fill="auto"/>
          </w:tcPr>
          <w:p w14:paraId="62C98ACD" w14:textId="77777777" w:rsidR="00377869" w:rsidRPr="00C71252" w:rsidRDefault="00377869" w:rsidP="00377869">
            <w:pPr>
              <w:numPr>
                <w:ilvl w:val="0"/>
                <w:numId w:val="0"/>
              </w:numPr>
              <w:spacing w:before="120"/>
              <w:rPr>
                <w:b/>
                <w:bCs/>
                <w:i/>
                <w:iCs/>
              </w:rPr>
            </w:pPr>
            <w:r w:rsidRPr="00C71252">
              <w:rPr>
                <w:b/>
                <w:bCs/>
                <w:i/>
                <w:iCs/>
              </w:rPr>
              <w:t>Risk Owners</w:t>
            </w:r>
          </w:p>
        </w:tc>
        <w:tc>
          <w:tcPr>
            <w:tcW w:w="2822" w:type="pct"/>
            <w:tcBorders>
              <w:top w:val="single" w:sz="4" w:space="0" w:color="auto"/>
              <w:left w:val="single" w:sz="4" w:space="0" w:color="auto"/>
              <w:bottom w:val="single" w:sz="4" w:space="0" w:color="auto"/>
              <w:right w:val="single" w:sz="4" w:space="0" w:color="auto"/>
            </w:tcBorders>
            <w:shd w:val="clear" w:color="auto" w:fill="auto"/>
          </w:tcPr>
          <w:p w14:paraId="68DECC5D" w14:textId="77777777" w:rsidR="00377869" w:rsidRPr="002341F8" w:rsidRDefault="00377869" w:rsidP="00377869">
            <w:pPr>
              <w:numPr>
                <w:ilvl w:val="0"/>
                <w:numId w:val="0"/>
              </w:numPr>
              <w:spacing w:before="120"/>
            </w:pPr>
            <w:r w:rsidRPr="002341F8">
              <w:t>Risk owners are responsible for identifying risks, approving risk treatments for risks, and accepting residual risks within their areas of responsibility. </w:t>
            </w:r>
          </w:p>
        </w:tc>
        <w:tc>
          <w:tcPr>
            <w:tcW w:w="1398" w:type="pct"/>
            <w:tcBorders>
              <w:top w:val="single" w:sz="4" w:space="0" w:color="auto"/>
              <w:left w:val="single" w:sz="4" w:space="0" w:color="auto"/>
              <w:bottom w:val="single" w:sz="4" w:space="0" w:color="auto"/>
              <w:right w:val="single" w:sz="4" w:space="0" w:color="auto"/>
            </w:tcBorders>
            <w:shd w:val="clear" w:color="auto" w:fill="auto"/>
          </w:tcPr>
          <w:p w14:paraId="4652E938" w14:textId="4487E14D" w:rsidR="00377869" w:rsidRPr="002341F8" w:rsidRDefault="00377869" w:rsidP="00377869">
            <w:pPr>
              <w:numPr>
                <w:ilvl w:val="0"/>
                <w:numId w:val="0"/>
              </w:numPr>
              <w:spacing w:before="120"/>
            </w:pPr>
            <w:r w:rsidRPr="002341F8">
              <w:t xml:space="preserve">Basic understanding of the </w:t>
            </w:r>
            <w:r w:rsidR="00A33B70">
              <w:t>security program</w:t>
            </w:r>
            <w:r w:rsidRPr="002341F8">
              <w:t>. </w:t>
            </w:r>
          </w:p>
          <w:p w14:paraId="75C9F696" w14:textId="77777777" w:rsidR="00377869" w:rsidRPr="002341F8" w:rsidRDefault="00377869" w:rsidP="00377869">
            <w:pPr>
              <w:numPr>
                <w:ilvl w:val="0"/>
                <w:numId w:val="0"/>
              </w:numPr>
              <w:spacing w:before="120"/>
            </w:pPr>
            <w:r w:rsidRPr="002341F8">
              <w:t>Authority to approve and accept risks. </w:t>
            </w:r>
          </w:p>
        </w:tc>
      </w:tr>
    </w:tbl>
    <w:p w14:paraId="56B6C39C" w14:textId="77777777" w:rsidR="00E62180" w:rsidRDefault="00E62180">
      <w:pPr>
        <w:rPr>
          <w:rFonts w:asciiTheme="majorHAnsi" w:eastAsiaTheme="majorEastAsia" w:hAnsiTheme="majorHAnsi" w:cstheme="majorBidi"/>
          <w:color w:val="2F5496" w:themeColor="accent1" w:themeShade="BF"/>
          <w:sz w:val="36"/>
          <w:szCs w:val="36"/>
        </w:rPr>
      </w:pPr>
      <w:r>
        <w:br w:type="page"/>
      </w:r>
    </w:p>
    <w:p w14:paraId="2E8935CC" w14:textId="1DB55384" w:rsidR="003F707C" w:rsidRDefault="003F707C" w:rsidP="00A34ED3">
      <w:pPr>
        <w:pStyle w:val="Heading1"/>
      </w:pPr>
      <w:bookmarkStart w:id="19" w:name="_Toc101873635"/>
      <w:r>
        <w:lastRenderedPageBreak/>
        <w:t>Effectiveness and Improvement</w:t>
      </w:r>
      <w:bookmarkEnd w:id="19"/>
      <w:r>
        <w:t xml:space="preserve"> </w:t>
      </w:r>
    </w:p>
    <w:p w14:paraId="60E19F76" w14:textId="2AB3FB5B" w:rsidR="003F707C" w:rsidRPr="00FE0976" w:rsidRDefault="00FE0976" w:rsidP="00FE0976">
      <w:pPr>
        <w:rPr>
          <w:i/>
          <w:iCs/>
          <w:color w:val="404040" w:themeColor="text1" w:themeTint="BF"/>
        </w:rPr>
      </w:pPr>
      <w:r>
        <w:rPr>
          <w:i/>
          <w:iCs/>
          <w:color w:val="404040" w:themeColor="text1" w:themeTint="BF"/>
        </w:rPr>
        <w:t>[</w:t>
      </w:r>
      <w:r w:rsidR="003F707C" w:rsidRPr="00FE0976">
        <w:rPr>
          <w:i/>
          <w:iCs/>
          <w:color w:val="404040" w:themeColor="text1" w:themeTint="BF"/>
        </w:rPr>
        <w:t xml:space="preserve">Outline how the </w:t>
      </w:r>
      <w:r w:rsidR="00DD7B31" w:rsidRPr="00FE0976">
        <w:rPr>
          <w:i/>
          <w:iCs/>
          <w:color w:val="404040" w:themeColor="text1" w:themeTint="BF"/>
        </w:rPr>
        <w:t>Council</w:t>
      </w:r>
      <w:r w:rsidR="003F707C" w:rsidRPr="00FE0976">
        <w:rPr>
          <w:i/>
          <w:iCs/>
          <w:color w:val="404040" w:themeColor="text1" w:themeTint="BF"/>
        </w:rPr>
        <w:t xml:space="preserve"> is committed to ensuring there is continuous improvement of the </w:t>
      </w:r>
      <w:r w:rsidR="00DD7B31" w:rsidRPr="00FE0976">
        <w:rPr>
          <w:i/>
          <w:iCs/>
          <w:color w:val="404040" w:themeColor="text1" w:themeTint="BF"/>
        </w:rPr>
        <w:t>Council</w:t>
      </w:r>
      <w:r w:rsidR="003F707C" w:rsidRPr="00FE0976">
        <w:rPr>
          <w:i/>
          <w:iCs/>
          <w:color w:val="404040" w:themeColor="text1" w:themeTint="BF"/>
        </w:rPr>
        <w:t>’s security posture.</w:t>
      </w:r>
      <w:r>
        <w:rPr>
          <w:i/>
          <w:iCs/>
          <w:color w:val="404040" w:themeColor="text1" w:themeTint="BF"/>
        </w:rPr>
        <w:t>]</w:t>
      </w:r>
    </w:p>
    <w:p w14:paraId="4AAF663B" w14:textId="34C2EF83" w:rsidR="003F707C" w:rsidRDefault="003F707C" w:rsidP="003F707C">
      <w:pPr>
        <w:spacing w:before="240"/>
      </w:pPr>
      <w:r w:rsidRPr="00FE0976">
        <w:rPr>
          <w:highlight w:val="yellow"/>
        </w:rPr>
        <w:t>[</w:t>
      </w:r>
      <w:r w:rsidR="00DD7B31" w:rsidRPr="00FE0976">
        <w:rPr>
          <w:highlight w:val="yellow"/>
        </w:rPr>
        <w:t>Council</w:t>
      </w:r>
      <w:r w:rsidRPr="00FE0976">
        <w:rPr>
          <w:highlight w:val="yellow"/>
        </w:rPr>
        <w:t>]</w:t>
      </w:r>
      <w:r>
        <w:t xml:space="preserve"> is committed to continuous improvement of the </w:t>
      </w:r>
      <w:r w:rsidR="00FE0976">
        <w:t>security program</w:t>
      </w:r>
      <w:r>
        <w:t xml:space="preserve"> by: </w:t>
      </w:r>
    </w:p>
    <w:p w14:paraId="45F1C2A5" w14:textId="4C9B1A68" w:rsidR="003F707C" w:rsidRDefault="003F707C" w:rsidP="003F707C">
      <w:pPr>
        <w:pStyle w:val="ListParagraph"/>
      </w:pPr>
      <w:r>
        <w:t xml:space="preserve">Monitoring the performance and effectiveness of the </w:t>
      </w:r>
      <w:r w:rsidR="00FE0976">
        <w:t>security program</w:t>
      </w:r>
      <w:r>
        <w:t xml:space="preserve"> against the planned objectives; </w:t>
      </w:r>
    </w:p>
    <w:p w14:paraId="66C50C48" w14:textId="77AA1A94" w:rsidR="003F707C" w:rsidRDefault="003F707C" w:rsidP="003F707C">
      <w:pPr>
        <w:pStyle w:val="ListParagraph"/>
      </w:pPr>
      <w:r>
        <w:t>Identifying non-conformities with the</w:t>
      </w:r>
      <w:r w:rsidR="00FE0976">
        <w:t xml:space="preserve"> security program</w:t>
      </w:r>
      <w:r>
        <w:t xml:space="preserve"> and implementing corrective actions to address these; </w:t>
      </w:r>
    </w:p>
    <w:p w14:paraId="307505EA" w14:textId="1C5181D1" w:rsidR="003F707C" w:rsidRDefault="003F707C" w:rsidP="003F707C">
      <w:pPr>
        <w:pStyle w:val="ListParagraph"/>
      </w:pPr>
      <w:r>
        <w:t xml:space="preserve">Ensuring activities in the security calendar are completed in a timely manner; </w:t>
      </w:r>
    </w:p>
    <w:p w14:paraId="44AC7C73" w14:textId="2FE9012E" w:rsidR="003F707C" w:rsidRDefault="003F707C" w:rsidP="003F707C">
      <w:pPr>
        <w:pStyle w:val="ListParagraph"/>
      </w:pPr>
      <w:r>
        <w:t xml:space="preserve">Undertaking regular independent reviews of various aspects of the </w:t>
      </w:r>
      <w:r w:rsidR="00FE0976">
        <w:t>security program</w:t>
      </w:r>
      <w:r>
        <w:t xml:space="preserve">. </w:t>
      </w:r>
    </w:p>
    <w:p w14:paraId="48BB8127" w14:textId="6982B0D9" w:rsidR="00753320" w:rsidRPr="00753320" w:rsidRDefault="003F707C" w:rsidP="00FE0976">
      <w:pPr>
        <w:pStyle w:val="Heading1"/>
      </w:pPr>
      <w:bookmarkStart w:id="20" w:name="_Toc101873636"/>
      <w:r w:rsidRPr="00FE0976">
        <w:t>C</w:t>
      </w:r>
      <w:r w:rsidR="00371D6A" w:rsidRPr="00FE0976">
        <w:t>ompliance</w:t>
      </w:r>
      <w:r w:rsidR="00371D6A">
        <w:t xml:space="preserve"> and Enforcement</w:t>
      </w:r>
      <w:bookmarkEnd w:id="20"/>
    </w:p>
    <w:p w14:paraId="7D9E7C0C" w14:textId="16086500" w:rsidR="003F707C" w:rsidRDefault="003F707C" w:rsidP="003F707C">
      <w:pPr>
        <w:spacing w:before="240"/>
      </w:pPr>
      <w:r>
        <w:t xml:space="preserve">Failure to comply with any element of this policy will result in disciplinary action, up to and including termination of employment in accordance with </w:t>
      </w:r>
      <w:r w:rsidRPr="00FE0976">
        <w:rPr>
          <w:highlight w:val="yellow"/>
        </w:rPr>
        <w:t>[</w:t>
      </w:r>
      <w:r w:rsidR="00DD7B31" w:rsidRPr="00FE0976">
        <w:rPr>
          <w:highlight w:val="yellow"/>
        </w:rPr>
        <w:t>Council</w:t>
      </w:r>
      <w:r w:rsidRPr="00FE0976">
        <w:rPr>
          <w:highlight w:val="yellow"/>
        </w:rPr>
        <w:t>]</w:t>
      </w:r>
      <w:r>
        <w:t xml:space="preserve">’s disciplinary process and the Code of Ethics for the South Australian Public Sector. </w:t>
      </w:r>
    </w:p>
    <w:p w14:paraId="0B7E1DBE" w14:textId="739E7E58" w:rsidR="00AD3F13" w:rsidRDefault="003F707C" w:rsidP="003F707C">
      <w:pPr>
        <w:spacing w:before="240"/>
      </w:pPr>
      <w:r>
        <w:t xml:space="preserve">Exemption from this policy must be sought from </w:t>
      </w:r>
      <w:r w:rsidRPr="00720C26">
        <w:rPr>
          <w:highlight w:val="yellow"/>
        </w:rPr>
        <w:t>[Role]</w:t>
      </w:r>
      <w:r>
        <w:t>.</w:t>
      </w:r>
    </w:p>
    <w:p w14:paraId="2D578350" w14:textId="1DBAF5E8" w:rsidR="00047CE4" w:rsidRDefault="00047CE4" w:rsidP="00A34ED3">
      <w:pPr>
        <w:pStyle w:val="Heading1"/>
      </w:pPr>
      <w:bookmarkStart w:id="21" w:name="_Toc101873637"/>
      <w:r>
        <w:t>Policy Review</w:t>
      </w:r>
      <w:bookmarkEnd w:id="21"/>
      <w:r>
        <w:t xml:space="preserve">  </w:t>
      </w:r>
    </w:p>
    <w:p w14:paraId="11556CEE" w14:textId="77777777" w:rsidR="00047CE4" w:rsidRDefault="00047CE4" w:rsidP="00047CE4">
      <w:pPr>
        <w:spacing w:before="240"/>
      </w:pPr>
      <w:r>
        <w:t xml:space="preserve">This policy shall be subject to annual review or if significant changes occur to ensure its continuing suitability, adequacy, and effectiveness. Reviews shall incorporate:  </w:t>
      </w:r>
    </w:p>
    <w:p w14:paraId="1540AA46" w14:textId="0B15536D" w:rsidR="00047CE4" w:rsidRDefault="00047CE4" w:rsidP="00047CE4">
      <w:pPr>
        <w:pStyle w:val="ListParagraph"/>
      </w:pPr>
      <w:r>
        <w:t xml:space="preserve">Assessment of opportunities for improvement of </w:t>
      </w:r>
      <w:r w:rsidRPr="000C3A87">
        <w:rPr>
          <w:highlight w:val="yellow"/>
        </w:rPr>
        <w:t>[</w:t>
      </w:r>
      <w:r w:rsidR="00DD7B31" w:rsidRPr="000C3A87">
        <w:rPr>
          <w:highlight w:val="yellow"/>
        </w:rPr>
        <w:t>Council</w:t>
      </w:r>
      <w:r w:rsidRPr="000C3A87">
        <w:rPr>
          <w:highlight w:val="yellow"/>
        </w:rPr>
        <w:t>]</w:t>
      </w:r>
      <w:r>
        <w:t xml:space="preserve">’s approach to security; and </w:t>
      </w:r>
    </w:p>
    <w:p w14:paraId="6CD101AA" w14:textId="1BF11BFA" w:rsidR="00E62180" w:rsidRDefault="00047CE4" w:rsidP="00047CE4">
      <w:pPr>
        <w:pStyle w:val="ListParagraph"/>
      </w:pPr>
      <w:r>
        <w:t xml:space="preserve">Consideration of changes to the organisational environment, business circumstances, legal conditions, or the technical environment. Policies will be endorsed by </w:t>
      </w:r>
      <w:r w:rsidRPr="000C3A87">
        <w:rPr>
          <w:highlight w:val="yellow"/>
        </w:rPr>
        <w:t>[</w:t>
      </w:r>
      <w:r w:rsidR="00DD7B31" w:rsidRPr="000C3A87">
        <w:rPr>
          <w:highlight w:val="yellow"/>
        </w:rPr>
        <w:t>Council</w:t>
      </w:r>
      <w:r w:rsidRPr="000C3A87">
        <w:rPr>
          <w:highlight w:val="yellow"/>
        </w:rPr>
        <w:t>]</w:t>
      </w:r>
      <w:r>
        <w:t xml:space="preserve">’s senior leadership. </w:t>
      </w:r>
    </w:p>
    <w:p w14:paraId="2CB6AE4B" w14:textId="77777777" w:rsidR="00FE0976" w:rsidRDefault="00FE0976" w:rsidP="00FE0976">
      <w:pPr>
        <w:pStyle w:val="Heading1"/>
        <w:spacing w:before="240"/>
      </w:pPr>
      <w:bookmarkStart w:id="22" w:name="_Toc101873638"/>
      <w:r>
        <w:t>References, Links and Additional Information</w:t>
      </w:r>
      <w:bookmarkEnd w:id="22"/>
      <w:r>
        <w:t xml:space="preserve">  </w:t>
      </w:r>
    </w:p>
    <w:p w14:paraId="77494331" w14:textId="77777777" w:rsidR="00FE0976" w:rsidRDefault="00FE0976" w:rsidP="00FE0976">
      <w:pPr>
        <w:spacing w:before="240"/>
      </w:pPr>
      <w:r>
        <w:t xml:space="preserve">This policy will be read in conjunction with: </w:t>
      </w:r>
    </w:p>
    <w:p w14:paraId="50A3A7BC" w14:textId="77777777" w:rsidR="00FE0976" w:rsidRDefault="00FE0976" w:rsidP="00FE0976">
      <w:pPr>
        <w:pStyle w:val="ListParagraph"/>
      </w:pPr>
      <w:r w:rsidRPr="00FE0976">
        <w:rPr>
          <w:highlight w:val="yellow"/>
        </w:rPr>
        <w:t>[Council]</w:t>
      </w:r>
      <w:r>
        <w:t>’s suite of security policies and procedures; and</w:t>
      </w:r>
    </w:p>
    <w:p w14:paraId="3166B7BB" w14:textId="77777777" w:rsidR="00FE0976" w:rsidRDefault="00FE0976" w:rsidP="00FE0976">
      <w:pPr>
        <w:pStyle w:val="ListParagraph"/>
      </w:pPr>
      <w:r>
        <w:t xml:space="preserve">The Local Government Security Toolkit. </w:t>
      </w:r>
    </w:p>
    <w:p w14:paraId="2261FBA5" w14:textId="015386FB" w:rsidR="00047CE4" w:rsidRDefault="00047CE4" w:rsidP="00753320">
      <w:pPr>
        <w:pStyle w:val="Heading1"/>
        <w:spacing w:before="240"/>
      </w:pPr>
      <w:bookmarkStart w:id="23" w:name="_Toc101873639"/>
      <w:r>
        <w:t>D</w:t>
      </w:r>
      <w:r w:rsidR="00AB197B">
        <w:t>ocument Controls</w:t>
      </w:r>
      <w:bookmarkEnd w:id="23"/>
    </w:p>
    <w:tbl>
      <w:tblPr>
        <w:tblStyle w:val="TableGrid"/>
        <w:tblW w:w="5000" w:type="pct"/>
        <w:tblLook w:val="04A0" w:firstRow="1" w:lastRow="0" w:firstColumn="1" w:lastColumn="0" w:noHBand="0" w:noVBand="1"/>
      </w:tblPr>
      <w:tblGrid>
        <w:gridCol w:w="1125"/>
        <w:gridCol w:w="1688"/>
        <w:gridCol w:w="1689"/>
        <w:gridCol w:w="1689"/>
        <w:gridCol w:w="1689"/>
        <w:gridCol w:w="1408"/>
      </w:tblGrid>
      <w:tr w:rsidR="008F7FE4" w:rsidRPr="00ED207B" w14:paraId="45651AC7" w14:textId="77777777" w:rsidTr="008F7FE4">
        <w:trPr>
          <w:trHeight w:val="298"/>
        </w:trPr>
        <w:tc>
          <w:tcPr>
            <w:tcW w:w="606" w:type="pct"/>
            <w:tcBorders>
              <w:bottom w:val="single" w:sz="4" w:space="0" w:color="auto"/>
            </w:tcBorders>
            <w:shd w:val="clear" w:color="auto" w:fill="002060"/>
          </w:tcPr>
          <w:p w14:paraId="586B5179" w14:textId="77777777" w:rsidR="008F7FE4" w:rsidRPr="008F7FE4" w:rsidRDefault="008F7FE4" w:rsidP="00FE0976">
            <w:pPr>
              <w:numPr>
                <w:ilvl w:val="0"/>
                <w:numId w:val="0"/>
              </w:numPr>
              <w:rPr>
                <w:b/>
                <w:bCs/>
                <w:color w:val="FFFFFF" w:themeColor="background1"/>
              </w:rPr>
            </w:pPr>
            <w:r w:rsidRPr="008F7FE4">
              <w:rPr>
                <w:b/>
                <w:bCs/>
                <w:color w:val="FFFFFF" w:themeColor="background1"/>
              </w:rPr>
              <w:t>Version number</w:t>
            </w:r>
          </w:p>
        </w:tc>
        <w:tc>
          <w:tcPr>
            <w:tcW w:w="909" w:type="pct"/>
            <w:tcBorders>
              <w:bottom w:val="single" w:sz="4" w:space="0" w:color="auto"/>
            </w:tcBorders>
            <w:shd w:val="clear" w:color="auto" w:fill="002060"/>
          </w:tcPr>
          <w:p w14:paraId="28217815" w14:textId="77777777" w:rsidR="008F7FE4" w:rsidRPr="008F7FE4" w:rsidRDefault="008F7FE4" w:rsidP="00FE0976">
            <w:pPr>
              <w:numPr>
                <w:ilvl w:val="0"/>
                <w:numId w:val="0"/>
              </w:numPr>
              <w:rPr>
                <w:b/>
                <w:bCs/>
                <w:color w:val="FFFFFF" w:themeColor="background1"/>
              </w:rPr>
            </w:pPr>
            <w:r w:rsidRPr="008F7FE4">
              <w:rPr>
                <w:b/>
                <w:bCs/>
                <w:color w:val="FFFFFF" w:themeColor="background1"/>
              </w:rPr>
              <w:t>Effective date</w:t>
            </w:r>
          </w:p>
        </w:tc>
        <w:tc>
          <w:tcPr>
            <w:tcW w:w="909" w:type="pct"/>
            <w:tcBorders>
              <w:bottom w:val="single" w:sz="4" w:space="0" w:color="auto"/>
            </w:tcBorders>
            <w:shd w:val="clear" w:color="auto" w:fill="002060"/>
          </w:tcPr>
          <w:p w14:paraId="27089167" w14:textId="77777777" w:rsidR="008F7FE4" w:rsidRPr="008F7FE4" w:rsidRDefault="008F7FE4" w:rsidP="00FE0976">
            <w:pPr>
              <w:numPr>
                <w:ilvl w:val="0"/>
                <w:numId w:val="0"/>
              </w:numPr>
              <w:rPr>
                <w:b/>
                <w:bCs/>
                <w:color w:val="FFFFFF" w:themeColor="background1"/>
              </w:rPr>
            </w:pPr>
            <w:r w:rsidRPr="008F7FE4">
              <w:rPr>
                <w:b/>
                <w:bCs/>
                <w:color w:val="FFFFFF" w:themeColor="background1"/>
              </w:rPr>
              <w:t>Owner</w:t>
            </w:r>
          </w:p>
        </w:tc>
        <w:tc>
          <w:tcPr>
            <w:tcW w:w="909" w:type="pct"/>
            <w:tcBorders>
              <w:bottom w:val="single" w:sz="4" w:space="0" w:color="auto"/>
            </w:tcBorders>
            <w:shd w:val="clear" w:color="auto" w:fill="002060"/>
          </w:tcPr>
          <w:p w14:paraId="0EBED2BF" w14:textId="77777777" w:rsidR="008F7FE4" w:rsidRPr="008F7FE4" w:rsidRDefault="008F7FE4" w:rsidP="00FE0976">
            <w:pPr>
              <w:numPr>
                <w:ilvl w:val="0"/>
                <w:numId w:val="0"/>
              </w:numPr>
              <w:rPr>
                <w:b/>
                <w:bCs/>
                <w:color w:val="FFFFFF" w:themeColor="background1"/>
              </w:rPr>
            </w:pPr>
            <w:r w:rsidRPr="008F7FE4">
              <w:rPr>
                <w:b/>
                <w:bCs/>
                <w:color w:val="FFFFFF" w:themeColor="background1"/>
              </w:rPr>
              <w:t xml:space="preserve">Reviewed by </w:t>
            </w:r>
          </w:p>
        </w:tc>
        <w:tc>
          <w:tcPr>
            <w:tcW w:w="909" w:type="pct"/>
            <w:tcBorders>
              <w:bottom w:val="single" w:sz="4" w:space="0" w:color="auto"/>
            </w:tcBorders>
            <w:shd w:val="clear" w:color="auto" w:fill="002060"/>
          </w:tcPr>
          <w:p w14:paraId="49A790F3" w14:textId="77777777" w:rsidR="008F7FE4" w:rsidRPr="008F7FE4" w:rsidRDefault="008F7FE4" w:rsidP="00FE0976">
            <w:pPr>
              <w:numPr>
                <w:ilvl w:val="0"/>
                <w:numId w:val="0"/>
              </w:numPr>
              <w:rPr>
                <w:b/>
                <w:bCs/>
                <w:color w:val="FFFFFF" w:themeColor="background1"/>
              </w:rPr>
            </w:pPr>
            <w:r w:rsidRPr="008F7FE4">
              <w:rPr>
                <w:b/>
                <w:bCs/>
                <w:color w:val="FFFFFF" w:themeColor="background1"/>
              </w:rPr>
              <w:t>Approved by</w:t>
            </w:r>
          </w:p>
        </w:tc>
        <w:tc>
          <w:tcPr>
            <w:tcW w:w="758" w:type="pct"/>
            <w:tcBorders>
              <w:bottom w:val="single" w:sz="4" w:space="0" w:color="auto"/>
            </w:tcBorders>
            <w:shd w:val="clear" w:color="auto" w:fill="002060"/>
          </w:tcPr>
          <w:p w14:paraId="3C709085" w14:textId="77777777" w:rsidR="008F7FE4" w:rsidRPr="008F7FE4" w:rsidRDefault="008F7FE4" w:rsidP="00FE0976">
            <w:pPr>
              <w:numPr>
                <w:ilvl w:val="0"/>
                <w:numId w:val="0"/>
              </w:numPr>
              <w:rPr>
                <w:b/>
                <w:bCs/>
                <w:color w:val="FFFFFF" w:themeColor="background1"/>
              </w:rPr>
            </w:pPr>
            <w:r w:rsidRPr="008F7FE4">
              <w:rPr>
                <w:b/>
                <w:bCs/>
                <w:color w:val="FFFFFF" w:themeColor="background1"/>
              </w:rPr>
              <w:t>Next review date</w:t>
            </w:r>
          </w:p>
        </w:tc>
      </w:tr>
      <w:tr w:rsidR="008F7FE4" w:rsidRPr="00ED207B" w14:paraId="7CD424FE" w14:textId="77777777" w:rsidTr="00FE0976">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auto"/>
          </w:tcPr>
          <w:p w14:paraId="52C123AD" w14:textId="5F56B276"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6828674"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686CEB7A"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35929145"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2DBD7C3" w14:textId="77777777" w:rsidR="008F7FE4" w:rsidRPr="008C5B72" w:rsidRDefault="008F7FE4" w:rsidP="00FE0976">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56F1298F" w14:textId="77777777" w:rsidR="008F7FE4" w:rsidRPr="008C5B72" w:rsidRDefault="008F7FE4" w:rsidP="00FE0976">
            <w:pPr>
              <w:numPr>
                <w:ilvl w:val="0"/>
                <w:numId w:val="0"/>
              </w:numPr>
            </w:pPr>
          </w:p>
        </w:tc>
      </w:tr>
      <w:tr w:rsidR="008F7FE4" w:rsidRPr="00ED207B" w14:paraId="693958A6" w14:textId="77777777" w:rsidTr="00FE0976">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auto"/>
          </w:tcPr>
          <w:p w14:paraId="719C2080"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D97D500"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4D31647"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10A5AE4" w14:textId="77777777" w:rsidR="008F7FE4" w:rsidRPr="008C5B72"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054DA00B" w14:textId="77777777" w:rsidR="008F7FE4" w:rsidRPr="008C5B72" w:rsidRDefault="008F7FE4" w:rsidP="00FE0976">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E0176DB" w14:textId="77777777" w:rsidR="008F7FE4" w:rsidRPr="008C5B72" w:rsidRDefault="008F7FE4" w:rsidP="00FE0976">
            <w:pPr>
              <w:numPr>
                <w:ilvl w:val="0"/>
                <w:numId w:val="0"/>
              </w:numPr>
            </w:pPr>
          </w:p>
        </w:tc>
      </w:tr>
      <w:tr w:rsidR="008F7FE4" w:rsidRPr="00ED207B" w14:paraId="07D3E83A" w14:textId="77777777" w:rsidTr="00FE0976">
        <w:trPr>
          <w:trHeight w:val="303"/>
        </w:trPr>
        <w:tc>
          <w:tcPr>
            <w:tcW w:w="606" w:type="pct"/>
            <w:tcBorders>
              <w:top w:val="single" w:sz="4" w:space="0" w:color="auto"/>
              <w:left w:val="single" w:sz="4" w:space="0" w:color="auto"/>
              <w:bottom w:val="single" w:sz="4" w:space="0" w:color="auto"/>
              <w:right w:val="single" w:sz="4" w:space="0" w:color="auto"/>
            </w:tcBorders>
            <w:shd w:val="clear" w:color="auto" w:fill="auto"/>
          </w:tcPr>
          <w:p w14:paraId="580AD5DD" w14:textId="77777777" w:rsidR="008F7FE4"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32BB717A" w14:textId="77777777" w:rsidR="008F7FE4"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BFD2844" w14:textId="77777777" w:rsidR="008F7FE4"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19FE9578" w14:textId="77777777" w:rsidR="008F7FE4" w:rsidRDefault="008F7FE4" w:rsidP="00FE0976">
            <w:pPr>
              <w:numPr>
                <w:ilvl w:val="0"/>
                <w:numId w:val="0"/>
              </w:numPr>
            </w:pPr>
          </w:p>
        </w:tc>
        <w:tc>
          <w:tcPr>
            <w:tcW w:w="909" w:type="pct"/>
            <w:tcBorders>
              <w:top w:val="single" w:sz="4" w:space="0" w:color="auto"/>
              <w:left w:val="single" w:sz="4" w:space="0" w:color="auto"/>
              <w:bottom w:val="single" w:sz="4" w:space="0" w:color="auto"/>
              <w:right w:val="single" w:sz="4" w:space="0" w:color="auto"/>
            </w:tcBorders>
            <w:shd w:val="clear" w:color="auto" w:fill="auto"/>
          </w:tcPr>
          <w:p w14:paraId="56B8CB20" w14:textId="77777777" w:rsidR="008F7FE4" w:rsidRDefault="008F7FE4" w:rsidP="00FE0976">
            <w:pPr>
              <w:numPr>
                <w:ilvl w:val="0"/>
                <w:numId w:val="0"/>
              </w:numPr>
            </w:pPr>
          </w:p>
        </w:tc>
        <w:tc>
          <w:tcPr>
            <w:tcW w:w="758" w:type="pct"/>
            <w:tcBorders>
              <w:top w:val="single" w:sz="4" w:space="0" w:color="auto"/>
              <w:left w:val="single" w:sz="4" w:space="0" w:color="auto"/>
              <w:bottom w:val="single" w:sz="4" w:space="0" w:color="auto"/>
              <w:right w:val="single" w:sz="4" w:space="0" w:color="auto"/>
            </w:tcBorders>
            <w:shd w:val="clear" w:color="auto" w:fill="auto"/>
          </w:tcPr>
          <w:p w14:paraId="0A555CC0" w14:textId="77777777" w:rsidR="008F7FE4" w:rsidRDefault="008F7FE4" w:rsidP="00FE0976">
            <w:pPr>
              <w:numPr>
                <w:ilvl w:val="0"/>
                <w:numId w:val="0"/>
              </w:numPr>
            </w:pPr>
          </w:p>
        </w:tc>
      </w:tr>
    </w:tbl>
    <w:p w14:paraId="28E1AD45" w14:textId="77777777" w:rsidR="00EB00B9" w:rsidRDefault="00EB00B9" w:rsidP="00EB00B9">
      <w:bookmarkStart w:id="24" w:name="_Toc100051753"/>
    </w:p>
    <w:p w14:paraId="294781C1" w14:textId="77777777" w:rsidR="00EB00B9" w:rsidRDefault="00EB00B9">
      <w:pPr>
        <w:rPr>
          <w:rFonts w:asciiTheme="majorHAnsi" w:eastAsiaTheme="majorEastAsia" w:hAnsiTheme="majorHAnsi" w:cstheme="majorBidi"/>
          <w:color w:val="2F5496" w:themeColor="accent1" w:themeShade="BF"/>
          <w:sz w:val="36"/>
          <w:szCs w:val="36"/>
        </w:rPr>
      </w:pPr>
      <w:r>
        <w:br w:type="page"/>
      </w:r>
    </w:p>
    <w:p w14:paraId="46B038A4" w14:textId="77777777" w:rsidR="005B103C" w:rsidRDefault="005B103C" w:rsidP="005B103C">
      <w:pPr>
        <w:pStyle w:val="Heading1"/>
      </w:pPr>
      <w:bookmarkStart w:id="25" w:name="_Toc101873640"/>
      <w:bookmarkEnd w:id="24"/>
      <w:r>
        <w:lastRenderedPageBreak/>
        <w:t>Acknowledgement of Support</w:t>
      </w:r>
      <w:bookmarkEnd w:id="25"/>
    </w:p>
    <w:p w14:paraId="7179D60C" w14:textId="77777777" w:rsidR="005B103C" w:rsidRPr="000C0D7E" w:rsidRDefault="005B103C" w:rsidP="005B103C">
      <w:r>
        <w:t>Creation of this document has been assisted by the Local Government Research &amp; Development Scheme administered by the Local Government Association of South Australia. Views and findings associated with this project are expressed independently and do not necessary represent the views of the funding bodies.</w:t>
      </w:r>
    </w:p>
    <w:p w14:paraId="1D20E564" w14:textId="77777777" w:rsidR="00EB00B9" w:rsidRPr="00047CE4" w:rsidRDefault="00EB00B9" w:rsidP="00047CE4"/>
    <w:sectPr w:rsidR="00EB00B9" w:rsidRPr="00047CE4" w:rsidSect="000858D2">
      <w:pgSz w:w="11906" w:h="16838" w:code="9"/>
      <w:pgMar w:top="1304" w:right="1304" w:bottom="113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8D41C" w14:textId="77777777" w:rsidR="00630400" w:rsidRDefault="00630400" w:rsidP="007F76F2">
      <w:pPr>
        <w:spacing w:after="0" w:line="240" w:lineRule="auto"/>
      </w:pPr>
      <w:r>
        <w:separator/>
      </w:r>
    </w:p>
  </w:endnote>
  <w:endnote w:type="continuationSeparator" w:id="0">
    <w:p w14:paraId="4AFDDBBF" w14:textId="77777777" w:rsidR="00630400" w:rsidRDefault="00630400" w:rsidP="007F76F2">
      <w:pPr>
        <w:spacing w:after="0" w:line="240" w:lineRule="auto"/>
      </w:pPr>
      <w:r>
        <w:continuationSeparator/>
      </w:r>
    </w:p>
  </w:endnote>
  <w:endnote w:type="continuationNotice" w:id="1">
    <w:p w14:paraId="50E5F8B5" w14:textId="77777777" w:rsidR="00630400" w:rsidRDefault="00630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9A6C6" w14:textId="77777777" w:rsidR="00630400" w:rsidRDefault="00630400" w:rsidP="007F76F2">
      <w:pPr>
        <w:spacing w:after="0" w:line="240" w:lineRule="auto"/>
      </w:pPr>
      <w:r>
        <w:separator/>
      </w:r>
    </w:p>
  </w:footnote>
  <w:footnote w:type="continuationSeparator" w:id="0">
    <w:p w14:paraId="036099B7" w14:textId="77777777" w:rsidR="00630400" w:rsidRDefault="00630400" w:rsidP="007F76F2">
      <w:pPr>
        <w:spacing w:after="0" w:line="240" w:lineRule="auto"/>
      </w:pPr>
      <w:r>
        <w:continuationSeparator/>
      </w:r>
    </w:p>
  </w:footnote>
  <w:footnote w:type="continuationNotice" w:id="1">
    <w:p w14:paraId="0D7C3D8C" w14:textId="77777777" w:rsidR="00630400" w:rsidRDefault="0063040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B50"/>
    <w:multiLevelType w:val="hybridMultilevel"/>
    <w:tmpl w:val="CCC435B2"/>
    <w:lvl w:ilvl="0" w:tplc="671C2A0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4873E6"/>
    <w:multiLevelType w:val="multilevel"/>
    <w:tmpl w:val="FA2ACB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461013"/>
    <w:multiLevelType w:val="hybridMultilevel"/>
    <w:tmpl w:val="AA10D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B6446"/>
    <w:multiLevelType w:val="hybridMultilevel"/>
    <w:tmpl w:val="1968F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6C09C4"/>
    <w:multiLevelType w:val="hybridMultilevel"/>
    <w:tmpl w:val="E70C73CE"/>
    <w:lvl w:ilvl="0" w:tplc="8214A21E">
      <w:start w:val="1"/>
      <w:numFmt w:val="bullet"/>
      <w:pStyle w:val="Table-BulletsBullets"/>
      <w:lvlText w:val=""/>
      <w:lvlJc w:val="left"/>
      <w:pPr>
        <w:ind w:left="425" w:hanging="425"/>
      </w:pPr>
      <w:rPr>
        <w:rFonts w:ascii="Symbol" w:hAnsi="Symbol" w:hint="default"/>
      </w:rPr>
    </w:lvl>
    <w:lvl w:ilvl="1" w:tplc="ACEE9516">
      <w:start w:val="1"/>
      <w:numFmt w:val="bullet"/>
      <w:lvlText w:val="o"/>
      <w:lvlJc w:val="left"/>
      <w:pPr>
        <w:ind w:left="680" w:hanging="255"/>
      </w:pPr>
      <w:rPr>
        <w:rFonts w:ascii="Courier New" w:hAnsi="Courier New" w:hint="default"/>
      </w:rPr>
    </w:lvl>
    <w:lvl w:ilvl="2" w:tplc="4484118C">
      <w:start w:val="1"/>
      <w:numFmt w:val="bullet"/>
      <w:lvlText w:val=""/>
      <w:lvlJc w:val="left"/>
      <w:pPr>
        <w:ind w:left="1276" w:hanging="425"/>
      </w:pPr>
      <w:rPr>
        <w:rFonts w:ascii="Wingdings" w:hAnsi="Wingdings" w:hint="default"/>
      </w:rPr>
    </w:lvl>
    <w:lvl w:ilvl="3" w:tplc="BDA4EBE4">
      <w:start w:val="1"/>
      <w:numFmt w:val="bullet"/>
      <w:lvlText w:val=""/>
      <w:lvlJc w:val="left"/>
      <w:pPr>
        <w:ind w:left="1701" w:hanging="425"/>
      </w:pPr>
      <w:rPr>
        <w:rFonts w:ascii="Symbol" w:hAnsi="Symbol" w:hint="default"/>
      </w:rPr>
    </w:lvl>
    <w:lvl w:ilvl="4" w:tplc="4F94492C">
      <w:start w:val="1"/>
      <w:numFmt w:val="bullet"/>
      <w:lvlText w:val="o"/>
      <w:lvlJc w:val="left"/>
      <w:pPr>
        <w:ind w:left="2126" w:hanging="425"/>
      </w:pPr>
      <w:rPr>
        <w:rFonts w:ascii="Courier New" w:hAnsi="Courier New" w:hint="default"/>
      </w:rPr>
    </w:lvl>
    <w:lvl w:ilvl="5" w:tplc="7E1A2DD2">
      <w:start w:val="1"/>
      <w:numFmt w:val="bullet"/>
      <w:lvlText w:val=""/>
      <w:lvlJc w:val="left"/>
      <w:pPr>
        <w:ind w:left="2552" w:hanging="426"/>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79E2575"/>
    <w:multiLevelType w:val="hybridMultilevel"/>
    <w:tmpl w:val="799CE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9F650D"/>
    <w:multiLevelType w:val="hybridMultilevel"/>
    <w:tmpl w:val="16343228"/>
    <w:lvl w:ilvl="0" w:tplc="9C969070">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E51202"/>
    <w:multiLevelType w:val="multilevel"/>
    <w:tmpl w:val="5EA6946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9F5E22"/>
    <w:multiLevelType w:val="hybridMultilevel"/>
    <w:tmpl w:val="28DCDD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0974C8"/>
    <w:multiLevelType w:val="hybridMultilevel"/>
    <w:tmpl w:val="00786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D742F"/>
    <w:multiLevelType w:val="hybridMultilevel"/>
    <w:tmpl w:val="0524A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080829"/>
    <w:multiLevelType w:val="hybridMultilevel"/>
    <w:tmpl w:val="68EC8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113B3F"/>
    <w:multiLevelType w:val="hybridMultilevel"/>
    <w:tmpl w:val="3F6A2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24964F8"/>
    <w:multiLevelType w:val="hybridMultilevel"/>
    <w:tmpl w:val="9A761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5C7C82"/>
    <w:multiLevelType w:val="multilevel"/>
    <w:tmpl w:val="8962140A"/>
    <w:styleLink w:val="Bulleted"/>
    <w:lvl w:ilvl="0">
      <w:start w:val="1"/>
      <w:numFmt w:val="bullet"/>
      <w:lvlText w:val="|"/>
      <w:lvlJc w:val="left"/>
      <w:pPr>
        <w:tabs>
          <w:tab w:val="num" w:pos="851"/>
        </w:tabs>
        <w:ind w:left="851" w:hanging="284"/>
      </w:pPr>
      <w:rPr>
        <w:rFonts w:ascii="Gill Sans Std Light" w:hAnsi="Gill Sans Std Light" w:hint="default"/>
        <w:color w:val="BDAF9C"/>
      </w:rPr>
    </w:lvl>
    <w:lvl w:ilvl="1">
      <w:start w:val="1"/>
      <w:numFmt w:val="bullet"/>
      <w:lvlText w:val="o"/>
      <w:lvlJc w:val="left"/>
      <w:pPr>
        <w:tabs>
          <w:tab w:val="num" w:pos="1418"/>
        </w:tabs>
        <w:ind w:left="1418" w:hanging="284"/>
      </w:pPr>
      <w:rPr>
        <w:rFonts w:ascii="Gill Sans Std Light" w:hAnsi="Gill Sans Std Light" w:hint="default"/>
        <w:color w:val="BDAF9C"/>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F85C3C"/>
    <w:multiLevelType w:val="hybridMultilevel"/>
    <w:tmpl w:val="41F24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26366068">
    <w:abstractNumId w:val="7"/>
  </w:num>
  <w:num w:numId="2" w16cid:durableId="620763693">
    <w:abstractNumId w:val="14"/>
  </w:num>
  <w:num w:numId="3" w16cid:durableId="1580823406">
    <w:abstractNumId w:val="0"/>
  </w:num>
  <w:num w:numId="4" w16cid:durableId="1384671342">
    <w:abstractNumId w:val="6"/>
  </w:num>
  <w:num w:numId="5" w16cid:durableId="492573361">
    <w:abstractNumId w:val="4"/>
  </w:num>
  <w:num w:numId="6" w16cid:durableId="324942029">
    <w:abstractNumId w:val="10"/>
  </w:num>
  <w:num w:numId="7" w16cid:durableId="1095709208">
    <w:abstractNumId w:val="15"/>
  </w:num>
  <w:num w:numId="8" w16cid:durableId="36394115">
    <w:abstractNumId w:val="13"/>
  </w:num>
  <w:num w:numId="9" w16cid:durableId="460614283">
    <w:abstractNumId w:val="11"/>
  </w:num>
  <w:num w:numId="10" w16cid:durableId="1286162203">
    <w:abstractNumId w:val="3"/>
  </w:num>
  <w:num w:numId="11" w16cid:durableId="602691549">
    <w:abstractNumId w:val="5"/>
  </w:num>
  <w:num w:numId="12" w16cid:durableId="1616408110">
    <w:abstractNumId w:val="1"/>
  </w:num>
  <w:num w:numId="13" w16cid:durableId="1760708922">
    <w:abstractNumId w:val="8"/>
  </w:num>
  <w:num w:numId="14" w16cid:durableId="1689212159">
    <w:abstractNumId w:val="9"/>
  </w:num>
  <w:num w:numId="15" w16cid:durableId="1035080466">
    <w:abstractNumId w:val="12"/>
  </w:num>
  <w:num w:numId="16" w16cid:durableId="1720666570">
    <w:abstractNumId w:val="2"/>
  </w:num>
  <w:num w:numId="17" w16cid:durableId="1324696619">
    <w:abstractNumId w:val="0"/>
  </w:num>
  <w:num w:numId="18" w16cid:durableId="275986506">
    <w:abstractNumId w:val="0"/>
  </w:num>
  <w:num w:numId="19" w16cid:durableId="1724062150">
    <w:abstractNumId w:val="0"/>
  </w:num>
  <w:num w:numId="20" w16cid:durableId="1301614190">
    <w:abstractNumId w:val="0"/>
  </w:num>
  <w:num w:numId="21" w16cid:durableId="1430931208">
    <w:abstractNumId w:val="0"/>
  </w:num>
  <w:num w:numId="22" w16cid:durableId="1530531595">
    <w:abstractNumId w:val="0"/>
  </w:num>
  <w:num w:numId="23" w16cid:durableId="52556110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MjC1NDE2sTC2sDRS0lEKTi0uzszPAykwrAUAZbbzgywAAAA="/>
  </w:docVars>
  <w:rsids>
    <w:rsidRoot w:val="0CCFFA3A"/>
    <w:rsid w:val="000006CB"/>
    <w:rsid w:val="000011E4"/>
    <w:rsid w:val="000015B1"/>
    <w:rsid w:val="00001FD1"/>
    <w:rsid w:val="00005001"/>
    <w:rsid w:val="00005875"/>
    <w:rsid w:val="00005A8B"/>
    <w:rsid w:val="00006214"/>
    <w:rsid w:val="0000660B"/>
    <w:rsid w:val="0000779D"/>
    <w:rsid w:val="0001534F"/>
    <w:rsid w:val="00015F0B"/>
    <w:rsid w:val="0001619C"/>
    <w:rsid w:val="00016F3A"/>
    <w:rsid w:val="00016FAD"/>
    <w:rsid w:val="00017EDD"/>
    <w:rsid w:val="0002035A"/>
    <w:rsid w:val="0002117E"/>
    <w:rsid w:val="00022E5E"/>
    <w:rsid w:val="0002356E"/>
    <w:rsid w:val="0002426B"/>
    <w:rsid w:val="00024E7B"/>
    <w:rsid w:val="0002553D"/>
    <w:rsid w:val="00025555"/>
    <w:rsid w:val="00026E49"/>
    <w:rsid w:val="00027214"/>
    <w:rsid w:val="000301C9"/>
    <w:rsid w:val="000304C4"/>
    <w:rsid w:val="00031395"/>
    <w:rsid w:val="0003159F"/>
    <w:rsid w:val="00031C8E"/>
    <w:rsid w:val="000320EA"/>
    <w:rsid w:val="00032DE0"/>
    <w:rsid w:val="00034CC9"/>
    <w:rsid w:val="00036614"/>
    <w:rsid w:val="000368B0"/>
    <w:rsid w:val="000370EB"/>
    <w:rsid w:val="000371F8"/>
    <w:rsid w:val="0004067D"/>
    <w:rsid w:val="00041F34"/>
    <w:rsid w:val="0004287D"/>
    <w:rsid w:val="00042929"/>
    <w:rsid w:val="000429B2"/>
    <w:rsid w:val="00042D00"/>
    <w:rsid w:val="0004381F"/>
    <w:rsid w:val="00043C33"/>
    <w:rsid w:val="00045943"/>
    <w:rsid w:val="00045C43"/>
    <w:rsid w:val="00046403"/>
    <w:rsid w:val="00047CE4"/>
    <w:rsid w:val="0005058F"/>
    <w:rsid w:val="000508A3"/>
    <w:rsid w:val="0005318D"/>
    <w:rsid w:val="000532DD"/>
    <w:rsid w:val="00053657"/>
    <w:rsid w:val="000541EE"/>
    <w:rsid w:val="00055AA0"/>
    <w:rsid w:val="00056084"/>
    <w:rsid w:val="00056409"/>
    <w:rsid w:val="000568EC"/>
    <w:rsid w:val="00057336"/>
    <w:rsid w:val="000576EA"/>
    <w:rsid w:val="00057AEE"/>
    <w:rsid w:val="000600FA"/>
    <w:rsid w:val="00062A97"/>
    <w:rsid w:val="0006404C"/>
    <w:rsid w:val="00065689"/>
    <w:rsid w:val="00065F05"/>
    <w:rsid w:val="000660A1"/>
    <w:rsid w:val="000671AE"/>
    <w:rsid w:val="00067449"/>
    <w:rsid w:val="00067665"/>
    <w:rsid w:val="00070E92"/>
    <w:rsid w:val="000721E5"/>
    <w:rsid w:val="00072DF6"/>
    <w:rsid w:val="000734E1"/>
    <w:rsid w:val="00073757"/>
    <w:rsid w:val="00075E12"/>
    <w:rsid w:val="00076F56"/>
    <w:rsid w:val="000772CA"/>
    <w:rsid w:val="00077755"/>
    <w:rsid w:val="0008005D"/>
    <w:rsid w:val="00080C9B"/>
    <w:rsid w:val="00081D5D"/>
    <w:rsid w:val="00082E94"/>
    <w:rsid w:val="0008426D"/>
    <w:rsid w:val="00084708"/>
    <w:rsid w:val="00084D55"/>
    <w:rsid w:val="000858D2"/>
    <w:rsid w:val="00085E80"/>
    <w:rsid w:val="00086800"/>
    <w:rsid w:val="00086FB5"/>
    <w:rsid w:val="00087A87"/>
    <w:rsid w:val="000906BB"/>
    <w:rsid w:val="0009189C"/>
    <w:rsid w:val="000956D9"/>
    <w:rsid w:val="0009642A"/>
    <w:rsid w:val="000965EB"/>
    <w:rsid w:val="00096E2C"/>
    <w:rsid w:val="00097356"/>
    <w:rsid w:val="00097A07"/>
    <w:rsid w:val="000A2032"/>
    <w:rsid w:val="000A2306"/>
    <w:rsid w:val="000A3423"/>
    <w:rsid w:val="000A4F1B"/>
    <w:rsid w:val="000A6AB8"/>
    <w:rsid w:val="000B0EA0"/>
    <w:rsid w:val="000B0EAC"/>
    <w:rsid w:val="000B1263"/>
    <w:rsid w:val="000B14AC"/>
    <w:rsid w:val="000B4314"/>
    <w:rsid w:val="000B4391"/>
    <w:rsid w:val="000B4F88"/>
    <w:rsid w:val="000B5561"/>
    <w:rsid w:val="000B5DC2"/>
    <w:rsid w:val="000B7198"/>
    <w:rsid w:val="000B719A"/>
    <w:rsid w:val="000B71A4"/>
    <w:rsid w:val="000B741B"/>
    <w:rsid w:val="000B78B9"/>
    <w:rsid w:val="000B7CE6"/>
    <w:rsid w:val="000C0664"/>
    <w:rsid w:val="000C0C38"/>
    <w:rsid w:val="000C10F9"/>
    <w:rsid w:val="000C2A2C"/>
    <w:rsid w:val="000C3A87"/>
    <w:rsid w:val="000C4BE7"/>
    <w:rsid w:val="000C4C23"/>
    <w:rsid w:val="000C4F87"/>
    <w:rsid w:val="000C6032"/>
    <w:rsid w:val="000C6775"/>
    <w:rsid w:val="000C6BF6"/>
    <w:rsid w:val="000C70CB"/>
    <w:rsid w:val="000C73B0"/>
    <w:rsid w:val="000D025A"/>
    <w:rsid w:val="000D0FDF"/>
    <w:rsid w:val="000D1453"/>
    <w:rsid w:val="000D2DE6"/>
    <w:rsid w:val="000D3E09"/>
    <w:rsid w:val="000D4C8E"/>
    <w:rsid w:val="000D68FE"/>
    <w:rsid w:val="000D71F2"/>
    <w:rsid w:val="000E2EB7"/>
    <w:rsid w:val="000E3306"/>
    <w:rsid w:val="000F275D"/>
    <w:rsid w:val="000F2D06"/>
    <w:rsid w:val="000F3619"/>
    <w:rsid w:val="000F373A"/>
    <w:rsid w:val="000F3893"/>
    <w:rsid w:val="000F45BC"/>
    <w:rsid w:val="000F46A0"/>
    <w:rsid w:val="000F52E5"/>
    <w:rsid w:val="000F682A"/>
    <w:rsid w:val="000F73D0"/>
    <w:rsid w:val="000F7927"/>
    <w:rsid w:val="000F7BC2"/>
    <w:rsid w:val="000F7F4E"/>
    <w:rsid w:val="000F7FB4"/>
    <w:rsid w:val="0010024B"/>
    <w:rsid w:val="001003A8"/>
    <w:rsid w:val="00101123"/>
    <w:rsid w:val="0010121C"/>
    <w:rsid w:val="0010143B"/>
    <w:rsid w:val="0010213A"/>
    <w:rsid w:val="00102B6C"/>
    <w:rsid w:val="00103F76"/>
    <w:rsid w:val="0010404B"/>
    <w:rsid w:val="001065CE"/>
    <w:rsid w:val="00106B6D"/>
    <w:rsid w:val="00110053"/>
    <w:rsid w:val="00112056"/>
    <w:rsid w:val="001127CD"/>
    <w:rsid w:val="001127E9"/>
    <w:rsid w:val="00112B1C"/>
    <w:rsid w:val="00113332"/>
    <w:rsid w:val="0011367A"/>
    <w:rsid w:val="00117F8C"/>
    <w:rsid w:val="001205DB"/>
    <w:rsid w:val="001214A6"/>
    <w:rsid w:val="00121525"/>
    <w:rsid w:val="001227A4"/>
    <w:rsid w:val="001258ED"/>
    <w:rsid w:val="0012630C"/>
    <w:rsid w:val="0012645D"/>
    <w:rsid w:val="00126B86"/>
    <w:rsid w:val="001275D7"/>
    <w:rsid w:val="001276B2"/>
    <w:rsid w:val="001279E5"/>
    <w:rsid w:val="00130A93"/>
    <w:rsid w:val="00132382"/>
    <w:rsid w:val="00134F82"/>
    <w:rsid w:val="00135CCD"/>
    <w:rsid w:val="0013627C"/>
    <w:rsid w:val="00136765"/>
    <w:rsid w:val="001371DE"/>
    <w:rsid w:val="00140ADC"/>
    <w:rsid w:val="001429E2"/>
    <w:rsid w:val="00142F4A"/>
    <w:rsid w:val="00145033"/>
    <w:rsid w:val="001450EA"/>
    <w:rsid w:val="001451CC"/>
    <w:rsid w:val="00145B0B"/>
    <w:rsid w:val="00145FEA"/>
    <w:rsid w:val="0014728F"/>
    <w:rsid w:val="00151EEA"/>
    <w:rsid w:val="00152DBE"/>
    <w:rsid w:val="0015339F"/>
    <w:rsid w:val="001540BB"/>
    <w:rsid w:val="001540EB"/>
    <w:rsid w:val="0015416C"/>
    <w:rsid w:val="001543CF"/>
    <w:rsid w:val="0015517F"/>
    <w:rsid w:val="001552C8"/>
    <w:rsid w:val="00157BEF"/>
    <w:rsid w:val="00161939"/>
    <w:rsid w:val="001633A3"/>
    <w:rsid w:val="001634A5"/>
    <w:rsid w:val="00163AA4"/>
    <w:rsid w:val="00164F7D"/>
    <w:rsid w:val="001660BE"/>
    <w:rsid w:val="0016674C"/>
    <w:rsid w:val="0017015C"/>
    <w:rsid w:val="00170C09"/>
    <w:rsid w:val="00171277"/>
    <w:rsid w:val="001715F6"/>
    <w:rsid w:val="00171ECD"/>
    <w:rsid w:val="00172C76"/>
    <w:rsid w:val="0017512B"/>
    <w:rsid w:val="0017709E"/>
    <w:rsid w:val="00177205"/>
    <w:rsid w:val="00177E32"/>
    <w:rsid w:val="001833B4"/>
    <w:rsid w:val="0018541D"/>
    <w:rsid w:val="00185D2B"/>
    <w:rsid w:val="00185EB4"/>
    <w:rsid w:val="00186600"/>
    <w:rsid w:val="00186C9B"/>
    <w:rsid w:val="00187707"/>
    <w:rsid w:val="00187FCD"/>
    <w:rsid w:val="00191041"/>
    <w:rsid w:val="001910A8"/>
    <w:rsid w:val="00191618"/>
    <w:rsid w:val="0019186A"/>
    <w:rsid w:val="00192F0B"/>
    <w:rsid w:val="00193B28"/>
    <w:rsid w:val="00194C17"/>
    <w:rsid w:val="001952C2"/>
    <w:rsid w:val="001A0350"/>
    <w:rsid w:val="001A372C"/>
    <w:rsid w:val="001A4D05"/>
    <w:rsid w:val="001A5E00"/>
    <w:rsid w:val="001A6AB4"/>
    <w:rsid w:val="001A71C7"/>
    <w:rsid w:val="001A7395"/>
    <w:rsid w:val="001B015F"/>
    <w:rsid w:val="001B02BD"/>
    <w:rsid w:val="001B0FDE"/>
    <w:rsid w:val="001B2977"/>
    <w:rsid w:val="001B42C4"/>
    <w:rsid w:val="001B4E33"/>
    <w:rsid w:val="001B5D58"/>
    <w:rsid w:val="001C04D7"/>
    <w:rsid w:val="001C2833"/>
    <w:rsid w:val="001C43D6"/>
    <w:rsid w:val="001C5568"/>
    <w:rsid w:val="001C7C6B"/>
    <w:rsid w:val="001C7EDE"/>
    <w:rsid w:val="001D0E7C"/>
    <w:rsid w:val="001D1007"/>
    <w:rsid w:val="001D32DA"/>
    <w:rsid w:val="001D43E0"/>
    <w:rsid w:val="001D4498"/>
    <w:rsid w:val="001D4C95"/>
    <w:rsid w:val="001D67D2"/>
    <w:rsid w:val="001D764C"/>
    <w:rsid w:val="001E02B4"/>
    <w:rsid w:val="001E0746"/>
    <w:rsid w:val="001E1DA2"/>
    <w:rsid w:val="001E27E6"/>
    <w:rsid w:val="001E2D63"/>
    <w:rsid w:val="001E3083"/>
    <w:rsid w:val="001E35E0"/>
    <w:rsid w:val="001E38E6"/>
    <w:rsid w:val="001E4B52"/>
    <w:rsid w:val="001E4C65"/>
    <w:rsid w:val="001E6DBC"/>
    <w:rsid w:val="001F014F"/>
    <w:rsid w:val="001F07BC"/>
    <w:rsid w:val="001F0CF0"/>
    <w:rsid w:val="001F4076"/>
    <w:rsid w:val="001F5C74"/>
    <w:rsid w:val="001F678A"/>
    <w:rsid w:val="001F7211"/>
    <w:rsid w:val="001F7991"/>
    <w:rsid w:val="002002CE"/>
    <w:rsid w:val="002021CC"/>
    <w:rsid w:val="00202525"/>
    <w:rsid w:val="00202E8F"/>
    <w:rsid w:val="0020374F"/>
    <w:rsid w:val="00205C99"/>
    <w:rsid w:val="00206323"/>
    <w:rsid w:val="00207DC3"/>
    <w:rsid w:val="00207DF8"/>
    <w:rsid w:val="002107B7"/>
    <w:rsid w:val="002120D4"/>
    <w:rsid w:val="00212D6B"/>
    <w:rsid w:val="00213030"/>
    <w:rsid w:val="00213032"/>
    <w:rsid w:val="00213902"/>
    <w:rsid w:val="00213C1B"/>
    <w:rsid w:val="00213FB8"/>
    <w:rsid w:val="002146BF"/>
    <w:rsid w:val="00214914"/>
    <w:rsid w:val="00214F10"/>
    <w:rsid w:val="00217318"/>
    <w:rsid w:val="002173DE"/>
    <w:rsid w:val="0021783E"/>
    <w:rsid w:val="00217E45"/>
    <w:rsid w:val="002208FB"/>
    <w:rsid w:val="00221073"/>
    <w:rsid w:val="00222456"/>
    <w:rsid w:val="00223188"/>
    <w:rsid w:val="002233C1"/>
    <w:rsid w:val="00224C81"/>
    <w:rsid w:val="00225E7D"/>
    <w:rsid w:val="00226CB3"/>
    <w:rsid w:val="002318E7"/>
    <w:rsid w:val="00233301"/>
    <w:rsid w:val="00233A40"/>
    <w:rsid w:val="002341F8"/>
    <w:rsid w:val="00236291"/>
    <w:rsid w:val="0023698D"/>
    <w:rsid w:val="002401D5"/>
    <w:rsid w:val="002408FF"/>
    <w:rsid w:val="002420AB"/>
    <w:rsid w:val="002442E4"/>
    <w:rsid w:val="00246624"/>
    <w:rsid w:val="00246B7B"/>
    <w:rsid w:val="00246CE0"/>
    <w:rsid w:val="0025070F"/>
    <w:rsid w:val="002510FA"/>
    <w:rsid w:val="00251A18"/>
    <w:rsid w:val="00252F00"/>
    <w:rsid w:val="002534A8"/>
    <w:rsid w:val="0025626A"/>
    <w:rsid w:val="00260955"/>
    <w:rsid w:val="00262C94"/>
    <w:rsid w:val="00262D86"/>
    <w:rsid w:val="002633B0"/>
    <w:rsid w:val="00263F3F"/>
    <w:rsid w:val="00264E5D"/>
    <w:rsid w:val="00266C93"/>
    <w:rsid w:val="00266F07"/>
    <w:rsid w:val="00267414"/>
    <w:rsid w:val="00267F3D"/>
    <w:rsid w:val="0027060D"/>
    <w:rsid w:val="002707BA"/>
    <w:rsid w:val="00270E77"/>
    <w:rsid w:val="002711FD"/>
    <w:rsid w:val="00272ACA"/>
    <w:rsid w:val="002731FB"/>
    <w:rsid w:val="0027452C"/>
    <w:rsid w:val="002769BF"/>
    <w:rsid w:val="0027780B"/>
    <w:rsid w:val="00280186"/>
    <w:rsid w:val="002839E8"/>
    <w:rsid w:val="00284BEA"/>
    <w:rsid w:val="0028562F"/>
    <w:rsid w:val="00287A1F"/>
    <w:rsid w:val="00287B49"/>
    <w:rsid w:val="002904F2"/>
    <w:rsid w:val="00290937"/>
    <w:rsid w:val="00292096"/>
    <w:rsid w:val="002921FE"/>
    <w:rsid w:val="00293FB4"/>
    <w:rsid w:val="002942A4"/>
    <w:rsid w:val="0029598C"/>
    <w:rsid w:val="00295CCC"/>
    <w:rsid w:val="00295EF4"/>
    <w:rsid w:val="0029628D"/>
    <w:rsid w:val="00296DD7"/>
    <w:rsid w:val="002A0475"/>
    <w:rsid w:val="002A10B4"/>
    <w:rsid w:val="002A2A32"/>
    <w:rsid w:val="002A34E9"/>
    <w:rsid w:val="002A361C"/>
    <w:rsid w:val="002A42D6"/>
    <w:rsid w:val="002A4CB6"/>
    <w:rsid w:val="002A4D39"/>
    <w:rsid w:val="002A66C4"/>
    <w:rsid w:val="002B0A63"/>
    <w:rsid w:val="002B26F9"/>
    <w:rsid w:val="002B2DDA"/>
    <w:rsid w:val="002B3065"/>
    <w:rsid w:val="002B4036"/>
    <w:rsid w:val="002B412D"/>
    <w:rsid w:val="002B67A6"/>
    <w:rsid w:val="002B77A5"/>
    <w:rsid w:val="002C08BC"/>
    <w:rsid w:val="002C16CD"/>
    <w:rsid w:val="002C25B3"/>
    <w:rsid w:val="002C2773"/>
    <w:rsid w:val="002C320D"/>
    <w:rsid w:val="002C32AC"/>
    <w:rsid w:val="002C60AD"/>
    <w:rsid w:val="002C7B9B"/>
    <w:rsid w:val="002D0998"/>
    <w:rsid w:val="002D0C6B"/>
    <w:rsid w:val="002D18F8"/>
    <w:rsid w:val="002D43C4"/>
    <w:rsid w:val="002D4498"/>
    <w:rsid w:val="002D4BFC"/>
    <w:rsid w:val="002D62CC"/>
    <w:rsid w:val="002E2C9D"/>
    <w:rsid w:val="002E2EED"/>
    <w:rsid w:val="002E31D5"/>
    <w:rsid w:val="002E3DAB"/>
    <w:rsid w:val="002E6BBF"/>
    <w:rsid w:val="002E773A"/>
    <w:rsid w:val="002E78AD"/>
    <w:rsid w:val="002F071F"/>
    <w:rsid w:val="002F0927"/>
    <w:rsid w:val="002F1D0F"/>
    <w:rsid w:val="002F2144"/>
    <w:rsid w:val="002F267B"/>
    <w:rsid w:val="002F373A"/>
    <w:rsid w:val="002F4803"/>
    <w:rsid w:val="002F49FC"/>
    <w:rsid w:val="002F6DD2"/>
    <w:rsid w:val="00301280"/>
    <w:rsid w:val="00301454"/>
    <w:rsid w:val="0030301E"/>
    <w:rsid w:val="003034B7"/>
    <w:rsid w:val="00303DA7"/>
    <w:rsid w:val="00303F92"/>
    <w:rsid w:val="00304882"/>
    <w:rsid w:val="00304F95"/>
    <w:rsid w:val="00305C23"/>
    <w:rsid w:val="00305C37"/>
    <w:rsid w:val="003077A7"/>
    <w:rsid w:val="00307E8F"/>
    <w:rsid w:val="00310459"/>
    <w:rsid w:val="00310806"/>
    <w:rsid w:val="00311944"/>
    <w:rsid w:val="003119F5"/>
    <w:rsid w:val="00313535"/>
    <w:rsid w:val="003156A1"/>
    <w:rsid w:val="00315FCE"/>
    <w:rsid w:val="00316BFC"/>
    <w:rsid w:val="00317D87"/>
    <w:rsid w:val="00317FA4"/>
    <w:rsid w:val="00321AE1"/>
    <w:rsid w:val="00321EE0"/>
    <w:rsid w:val="003233D2"/>
    <w:rsid w:val="003237BB"/>
    <w:rsid w:val="003240FB"/>
    <w:rsid w:val="0032514B"/>
    <w:rsid w:val="00326C08"/>
    <w:rsid w:val="00326FF6"/>
    <w:rsid w:val="00327278"/>
    <w:rsid w:val="00327DB0"/>
    <w:rsid w:val="00330D1A"/>
    <w:rsid w:val="00331F23"/>
    <w:rsid w:val="00331F59"/>
    <w:rsid w:val="00332BC5"/>
    <w:rsid w:val="00333289"/>
    <w:rsid w:val="0033464B"/>
    <w:rsid w:val="00334AAB"/>
    <w:rsid w:val="00336E83"/>
    <w:rsid w:val="0033763D"/>
    <w:rsid w:val="00340879"/>
    <w:rsid w:val="00342B65"/>
    <w:rsid w:val="00342C3A"/>
    <w:rsid w:val="003431F7"/>
    <w:rsid w:val="00343A6E"/>
    <w:rsid w:val="00344143"/>
    <w:rsid w:val="0034421F"/>
    <w:rsid w:val="00344BD4"/>
    <w:rsid w:val="00345412"/>
    <w:rsid w:val="00345464"/>
    <w:rsid w:val="0034616D"/>
    <w:rsid w:val="0034722B"/>
    <w:rsid w:val="0035026A"/>
    <w:rsid w:val="003519B5"/>
    <w:rsid w:val="00351D6F"/>
    <w:rsid w:val="0035341D"/>
    <w:rsid w:val="00353C66"/>
    <w:rsid w:val="00353E73"/>
    <w:rsid w:val="003568FC"/>
    <w:rsid w:val="003570D1"/>
    <w:rsid w:val="00357179"/>
    <w:rsid w:val="00357565"/>
    <w:rsid w:val="00357ABB"/>
    <w:rsid w:val="00360015"/>
    <w:rsid w:val="00361323"/>
    <w:rsid w:val="00361996"/>
    <w:rsid w:val="00361D7B"/>
    <w:rsid w:val="0036211D"/>
    <w:rsid w:val="00362E8D"/>
    <w:rsid w:val="00365774"/>
    <w:rsid w:val="003667EC"/>
    <w:rsid w:val="00367251"/>
    <w:rsid w:val="00367AFE"/>
    <w:rsid w:val="00367CC3"/>
    <w:rsid w:val="00371278"/>
    <w:rsid w:val="00371D6A"/>
    <w:rsid w:val="00373E4F"/>
    <w:rsid w:val="00374238"/>
    <w:rsid w:val="00374E5D"/>
    <w:rsid w:val="00374F28"/>
    <w:rsid w:val="0037579E"/>
    <w:rsid w:val="00375C98"/>
    <w:rsid w:val="003760F4"/>
    <w:rsid w:val="00377869"/>
    <w:rsid w:val="00380076"/>
    <w:rsid w:val="00380F47"/>
    <w:rsid w:val="003810B4"/>
    <w:rsid w:val="003823F4"/>
    <w:rsid w:val="003829B6"/>
    <w:rsid w:val="00383401"/>
    <w:rsid w:val="003834A4"/>
    <w:rsid w:val="0038501E"/>
    <w:rsid w:val="00385BED"/>
    <w:rsid w:val="00386C63"/>
    <w:rsid w:val="003878BE"/>
    <w:rsid w:val="00387FD3"/>
    <w:rsid w:val="003902E0"/>
    <w:rsid w:val="00390837"/>
    <w:rsid w:val="003912DF"/>
    <w:rsid w:val="003925BC"/>
    <w:rsid w:val="003930B6"/>
    <w:rsid w:val="00394264"/>
    <w:rsid w:val="00394B05"/>
    <w:rsid w:val="00396DFE"/>
    <w:rsid w:val="0039784F"/>
    <w:rsid w:val="003A0C8D"/>
    <w:rsid w:val="003A3623"/>
    <w:rsid w:val="003A38FC"/>
    <w:rsid w:val="003A3A9D"/>
    <w:rsid w:val="003A4504"/>
    <w:rsid w:val="003A5048"/>
    <w:rsid w:val="003A5604"/>
    <w:rsid w:val="003A68A0"/>
    <w:rsid w:val="003B1DCF"/>
    <w:rsid w:val="003B6B82"/>
    <w:rsid w:val="003B6CB4"/>
    <w:rsid w:val="003B6EA0"/>
    <w:rsid w:val="003B7E5D"/>
    <w:rsid w:val="003C04D4"/>
    <w:rsid w:val="003C063E"/>
    <w:rsid w:val="003C13D4"/>
    <w:rsid w:val="003C6111"/>
    <w:rsid w:val="003C75C4"/>
    <w:rsid w:val="003D028C"/>
    <w:rsid w:val="003D11EE"/>
    <w:rsid w:val="003D231C"/>
    <w:rsid w:val="003E1663"/>
    <w:rsid w:val="003E1B0E"/>
    <w:rsid w:val="003E1D16"/>
    <w:rsid w:val="003E1E4C"/>
    <w:rsid w:val="003E2575"/>
    <w:rsid w:val="003E3D83"/>
    <w:rsid w:val="003E43B4"/>
    <w:rsid w:val="003E4603"/>
    <w:rsid w:val="003E5B1F"/>
    <w:rsid w:val="003E5E04"/>
    <w:rsid w:val="003E5E84"/>
    <w:rsid w:val="003E73F8"/>
    <w:rsid w:val="003F16BB"/>
    <w:rsid w:val="003F37D7"/>
    <w:rsid w:val="003F40AE"/>
    <w:rsid w:val="003F5B4A"/>
    <w:rsid w:val="003F707C"/>
    <w:rsid w:val="003F789D"/>
    <w:rsid w:val="00404D49"/>
    <w:rsid w:val="004077BE"/>
    <w:rsid w:val="00412968"/>
    <w:rsid w:val="00412A18"/>
    <w:rsid w:val="00413102"/>
    <w:rsid w:val="00413F57"/>
    <w:rsid w:val="0041483B"/>
    <w:rsid w:val="00414D5D"/>
    <w:rsid w:val="004156B2"/>
    <w:rsid w:val="004165E6"/>
    <w:rsid w:val="00416F50"/>
    <w:rsid w:val="004178AB"/>
    <w:rsid w:val="00420CF8"/>
    <w:rsid w:val="00421D59"/>
    <w:rsid w:val="004230A1"/>
    <w:rsid w:val="004236C9"/>
    <w:rsid w:val="00423E04"/>
    <w:rsid w:val="00424F59"/>
    <w:rsid w:val="00425472"/>
    <w:rsid w:val="0042563F"/>
    <w:rsid w:val="00427207"/>
    <w:rsid w:val="004276DE"/>
    <w:rsid w:val="00427C1F"/>
    <w:rsid w:val="00427D8F"/>
    <w:rsid w:val="00431F11"/>
    <w:rsid w:val="00432A7E"/>
    <w:rsid w:val="00432D95"/>
    <w:rsid w:val="00432EAF"/>
    <w:rsid w:val="00433EA4"/>
    <w:rsid w:val="00435919"/>
    <w:rsid w:val="004373B1"/>
    <w:rsid w:val="00437636"/>
    <w:rsid w:val="0043791E"/>
    <w:rsid w:val="00440499"/>
    <w:rsid w:val="00441918"/>
    <w:rsid w:val="004426B2"/>
    <w:rsid w:val="00442A6D"/>
    <w:rsid w:val="00443771"/>
    <w:rsid w:val="00446320"/>
    <w:rsid w:val="00447CA7"/>
    <w:rsid w:val="00447FA6"/>
    <w:rsid w:val="00451052"/>
    <w:rsid w:val="00451620"/>
    <w:rsid w:val="0045309F"/>
    <w:rsid w:val="00455103"/>
    <w:rsid w:val="00455BAF"/>
    <w:rsid w:val="00456AD7"/>
    <w:rsid w:val="00456F2F"/>
    <w:rsid w:val="00457486"/>
    <w:rsid w:val="0046073B"/>
    <w:rsid w:val="00460D74"/>
    <w:rsid w:val="0046131F"/>
    <w:rsid w:val="004614F8"/>
    <w:rsid w:val="00462D1C"/>
    <w:rsid w:val="00463C1B"/>
    <w:rsid w:val="00463F11"/>
    <w:rsid w:val="00464091"/>
    <w:rsid w:val="0046565A"/>
    <w:rsid w:val="00466DCC"/>
    <w:rsid w:val="00467E1E"/>
    <w:rsid w:val="00471054"/>
    <w:rsid w:val="004710EA"/>
    <w:rsid w:val="00471AC2"/>
    <w:rsid w:val="004740B1"/>
    <w:rsid w:val="00474239"/>
    <w:rsid w:val="00476D6B"/>
    <w:rsid w:val="00477B76"/>
    <w:rsid w:val="00480321"/>
    <w:rsid w:val="00481F07"/>
    <w:rsid w:val="00482DCB"/>
    <w:rsid w:val="00483473"/>
    <w:rsid w:val="0048510A"/>
    <w:rsid w:val="00485735"/>
    <w:rsid w:val="00485BA8"/>
    <w:rsid w:val="00485F3A"/>
    <w:rsid w:val="00486F05"/>
    <w:rsid w:val="00491C7F"/>
    <w:rsid w:val="00492285"/>
    <w:rsid w:val="00493BAF"/>
    <w:rsid w:val="00496A01"/>
    <w:rsid w:val="004977F9"/>
    <w:rsid w:val="004A1C3F"/>
    <w:rsid w:val="004A209C"/>
    <w:rsid w:val="004A38F8"/>
    <w:rsid w:val="004A532E"/>
    <w:rsid w:val="004A5D14"/>
    <w:rsid w:val="004A61DF"/>
    <w:rsid w:val="004B0553"/>
    <w:rsid w:val="004B0B80"/>
    <w:rsid w:val="004B25D3"/>
    <w:rsid w:val="004B3069"/>
    <w:rsid w:val="004B375F"/>
    <w:rsid w:val="004B46EA"/>
    <w:rsid w:val="004B48E5"/>
    <w:rsid w:val="004B58D8"/>
    <w:rsid w:val="004B5C2D"/>
    <w:rsid w:val="004B6F74"/>
    <w:rsid w:val="004C0B25"/>
    <w:rsid w:val="004C1277"/>
    <w:rsid w:val="004C1519"/>
    <w:rsid w:val="004C1B8B"/>
    <w:rsid w:val="004C1CA2"/>
    <w:rsid w:val="004C3523"/>
    <w:rsid w:val="004C406B"/>
    <w:rsid w:val="004C4125"/>
    <w:rsid w:val="004C416F"/>
    <w:rsid w:val="004C6AB6"/>
    <w:rsid w:val="004D41D5"/>
    <w:rsid w:val="004D4AFC"/>
    <w:rsid w:val="004D4F3F"/>
    <w:rsid w:val="004D7AAB"/>
    <w:rsid w:val="004E04F5"/>
    <w:rsid w:val="004E1655"/>
    <w:rsid w:val="004E1920"/>
    <w:rsid w:val="004E20EC"/>
    <w:rsid w:val="004E34BE"/>
    <w:rsid w:val="004E4976"/>
    <w:rsid w:val="004E4B07"/>
    <w:rsid w:val="004E4EFA"/>
    <w:rsid w:val="004E5177"/>
    <w:rsid w:val="004E529E"/>
    <w:rsid w:val="004E5A0D"/>
    <w:rsid w:val="004E5C29"/>
    <w:rsid w:val="004E77D9"/>
    <w:rsid w:val="004F12E6"/>
    <w:rsid w:val="004F13E0"/>
    <w:rsid w:val="004F1916"/>
    <w:rsid w:val="004F360C"/>
    <w:rsid w:val="004F436E"/>
    <w:rsid w:val="004F4991"/>
    <w:rsid w:val="004F7EDF"/>
    <w:rsid w:val="00500606"/>
    <w:rsid w:val="00502ACF"/>
    <w:rsid w:val="00502DBF"/>
    <w:rsid w:val="00502F79"/>
    <w:rsid w:val="005033FB"/>
    <w:rsid w:val="005034BB"/>
    <w:rsid w:val="005048FF"/>
    <w:rsid w:val="00504B88"/>
    <w:rsid w:val="005064CF"/>
    <w:rsid w:val="00506C63"/>
    <w:rsid w:val="00507E32"/>
    <w:rsid w:val="005105B9"/>
    <w:rsid w:val="0051099C"/>
    <w:rsid w:val="005109C3"/>
    <w:rsid w:val="00510E9B"/>
    <w:rsid w:val="0051251C"/>
    <w:rsid w:val="00512CAC"/>
    <w:rsid w:val="00512CCE"/>
    <w:rsid w:val="00513E9A"/>
    <w:rsid w:val="005141CB"/>
    <w:rsid w:val="0051487C"/>
    <w:rsid w:val="005148B1"/>
    <w:rsid w:val="00514A85"/>
    <w:rsid w:val="00514C2A"/>
    <w:rsid w:val="00514EE6"/>
    <w:rsid w:val="005151C7"/>
    <w:rsid w:val="00516599"/>
    <w:rsid w:val="005214AF"/>
    <w:rsid w:val="00521824"/>
    <w:rsid w:val="00524D61"/>
    <w:rsid w:val="00525AF8"/>
    <w:rsid w:val="00525B54"/>
    <w:rsid w:val="00525E68"/>
    <w:rsid w:val="00526861"/>
    <w:rsid w:val="00530BB2"/>
    <w:rsid w:val="00531284"/>
    <w:rsid w:val="00533749"/>
    <w:rsid w:val="0053410C"/>
    <w:rsid w:val="005419A1"/>
    <w:rsid w:val="00541AE1"/>
    <w:rsid w:val="00542425"/>
    <w:rsid w:val="0054497A"/>
    <w:rsid w:val="005454C5"/>
    <w:rsid w:val="0054555F"/>
    <w:rsid w:val="00546B18"/>
    <w:rsid w:val="00547C0E"/>
    <w:rsid w:val="00547CD1"/>
    <w:rsid w:val="00547FB6"/>
    <w:rsid w:val="005501DE"/>
    <w:rsid w:val="00550290"/>
    <w:rsid w:val="005513E6"/>
    <w:rsid w:val="005519CA"/>
    <w:rsid w:val="00551D64"/>
    <w:rsid w:val="005527AA"/>
    <w:rsid w:val="00552DA4"/>
    <w:rsid w:val="0055346B"/>
    <w:rsid w:val="00553BA0"/>
    <w:rsid w:val="0055533D"/>
    <w:rsid w:val="00556AD0"/>
    <w:rsid w:val="00556EFE"/>
    <w:rsid w:val="0055785A"/>
    <w:rsid w:val="00557FCB"/>
    <w:rsid w:val="005601A0"/>
    <w:rsid w:val="00563F7E"/>
    <w:rsid w:val="00565290"/>
    <w:rsid w:val="005654BE"/>
    <w:rsid w:val="00566F20"/>
    <w:rsid w:val="00567878"/>
    <w:rsid w:val="005678AB"/>
    <w:rsid w:val="0056799E"/>
    <w:rsid w:val="00567C7F"/>
    <w:rsid w:val="0057037F"/>
    <w:rsid w:val="00570656"/>
    <w:rsid w:val="00570CFD"/>
    <w:rsid w:val="00573A71"/>
    <w:rsid w:val="00573BB6"/>
    <w:rsid w:val="00573CF0"/>
    <w:rsid w:val="00574D92"/>
    <w:rsid w:val="00575EDD"/>
    <w:rsid w:val="00576413"/>
    <w:rsid w:val="00576638"/>
    <w:rsid w:val="00576B8D"/>
    <w:rsid w:val="00577E1B"/>
    <w:rsid w:val="00580A37"/>
    <w:rsid w:val="00582B93"/>
    <w:rsid w:val="005834F5"/>
    <w:rsid w:val="005835F0"/>
    <w:rsid w:val="00584A3F"/>
    <w:rsid w:val="005854AE"/>
    <w:rsid w:val="0058615B"/>
    <w:rsid w:val="0058644A"/>
    <w:rsid w:val="00586B7F"/>
    <w:rsid w:val="00587940"/>
    <w:rsid w:val="00590C97"/>
    <w:rsid w:val="00591DEA"/>
    <w:rsid w:val="00595786"/>
    <w:rsid w:val="00595B2A"/>
    <w:rsid w:val="00596684"/>
    <w:rsid w:val="005978CF"/>
    <w:rsid w:val="00597EEA"/>
    <w:rsid w:val="005A0B49"/>
    <w:rsid w:val="005A0E19"/>
    <w:rsid w:val="005A1F2D"/>
    <w:rsid w:val="005A1F84"/>
    <w:rsid w:val="005A48E6"/>
    <w:rsid w:val="005A61F3"/>
    <w:rsid w:val="005A7B13"/>
    <w:rsid w:val="005A7D63"/>
    <w:rsid w:val="005B00FA"/>
    <w:rsid w:val="005B103C"/>
    <w:rsid w:val="005B23FD"/>
    <w:rsid w:val="005B33FC"/>
    <w:rsid w:val="005B4DA3"/>
    <w:rsid w:val="005B4ED3"/>
    <w:rsid w:val="005B53B0"/>
    <w:rsid w:val="005B5F6F"/>
    <w:rsid w:val="005B60E2"/>
    <w:rsid w:val="005B6215"/>
    <w:rsid w:val="005B64E0"/>
    <w:rsid w:val="005B6965"/>
    <w:rsid w:val="005B70F2"/>
    <w:rsid w:val="005B7237"/>
    <w:rsid w:val="005C019D"/>
    <w:rsid w:val="005C0731"/>
    <w:rsid w:val="005C0B46"/>
    <w:rsid w:val="005C1614"/>
    <w:rsid w:val="005C1E38"/>
    <w:rsid w:val="005C29F3"/>
    <w:rsid w:val="005C450B"/>
    <w:rsid w:val="005C52BC"/>
    <w:rsid w:val="005C70BE"/>
    <w:rsid w:val="005C7F32"/>
    <w:rsid w:val="005D04FF"/>
    <w:rsid w:val="005D2061"/>
    <w:rsid w:val="005D2E42"/>
    <w:rsid w:val="005D4296"/>
    <w:rsid w:val="005D56E1"/>
    <w:rsid w:val="005E117D"/>
    <w:rsid w:val="005E17E6"/>
    <w:rsid w:val="005E188F"/>
    <w:rsid w:val="005E24B8"/>
    <w:rsid w:val="005E5FE2"/>
    <w:rsid w:val="005E612E"/>
    <w:rsid w:val="005F0E03"/>
    <w:rsid w:val="005F1E9C"/>
    <w:rsid w:val="005F2741"/>
    <w:rsid w:val="005F2AD3"/>
    <w:rsid w:val="005F3B81"/>
    <w:rsid w:val="005F48D4"/>
    <w:rsid w:val="005F4C37"/>
    <w:rsid w:val="005F4DEA"/>
    <w:rsid w:val="005F5DC2"/>
    <w:rsid w:val="005F6114"/>
    <w:rsid w:val="005F6362"/>
    <w:rsid w:val="005F784C"/>
    <w:rsid w:val="005F7955"/>
    <w:rsid w:val="005F7C42"/>
    <w:rsid w:val="006018E4"/>
    <w:rsid w:val="00602268"/>
    <w:rsid w:val="006037D3"/>
    <w:rsid w:val="0060398A"/>
    <w:rsid w:val="006045D6"/>
    <w:rsid w:val="00605AB2"/>
    <w:rsid w:val="00606715"/>
    <w:rsid w:val="00606B6B"/>
    <w:rsid w:val="00607805"/>
    <w:rsid w:val="0061016E"/>
    <w:rsid w:val="00611B2D"/>
    <w:rsid w:val="006121BF"/>
    <w:rsid w:val="00613DE0"/>
    <w:rsid w:val="00613FFA"/>
    <w:rsid w:val="00614246"/>
    <w:rsid w:val="00615E52"/>
    <w:rsid w:val="006162CC"/>
    <w:rsid w:val="0061637E"/>
    <w:rsid w:val="00616590"/>
    <w:rsid w:val="00616A4D"/>
    <w:rsid w:val="00617C2C"/>
    <w:rsid w:val="006202C4"/>
    <w:rsid w:val="00621A8A"/>
    <w:rsid w:val="006229A3"/>
    <w:rsid w:val="00622C7C"/>
    <w:rsid w:val="006239AC"/>
    <w:rsid w:val="00623C8E"/>
    <w:rsid w:val="00626A29"/>
    <w:rsid w:val="00626E28"/>
    <w:rsid w:val="00627BE8"/>
    <w:rsid w:val="00627F86"/>
    <w:rsid w:val="00630400"/>
    <w:rsid w:val="00631D3D"/>
    <w:rsid w:val="00631D5A"/>
    <w:rsid w:val="00631EA6"/>
    <w:rsid w:val="00631F92"/>
    <w:rsid w:val="006327B8"/>
    <w:rsid w:val="00633564"/>
    <w:rsid w:val="006341AF"/>
    <w:rsid w:val="006357BA"/>
    <w:rsid w:val="00635CF4"/>
    <w:rsid w:val="00636904"/>
    <w:rsid w:val="006423D4"/>
    <w:rsid w:val="006424E9"/>
    <w:rsid w:val="006431CF"/>
    <w:rsid w:val="006438BE"/>
    <w:rsid w:val="0064415B"/>
    <w:rsid w:val="006479F7"/>
    <w:rsid w:val="0065097A"/>
    <w:rsid w:val="00651F05"/>
    <w:rsid w:val="00653505"/>
    <w:rsid w:val="006542F1"/>
    <w:rsid w:val="00654B47"/>
    <w:rsid w:val="00655150"/>
    <w:rsid w:val="00655471"/>
    <w:rsid w:val="00656514"/>
    <w:rsid w:val="0065667F"/>
    <w:rsid w:val="00656B3B"/>
    <w:rsid w:val="00656B70"/>
    <w:rsid w:val="00657F02"/>
    <w:rsid w:val="00660B7A"/>
    <w:rsid w:val="00661761"/>
    <w:rsid w:val="00664740"/>
    <w:rsid w:val="00664E36"/>
    <w:rsid w:val="00664E70"/>
    <w:rsid w:val="00666D18"/>
    <w:rsid w:val="00667D9D"/>
    <w:rsid w:val="00670628"/>
    <w:rsid w:val="00670A71"/>
    <w:rsid w:val="0067160F"/>
    <w:rsid w:val="00673061"/>
    <w:rsid w:val="00674326"/>
    <w:rsid w:val="00674747"/>
    <w:rsid w:val="00675931"/>
    <w:rsid w:val="00675FF0"/>
    <w:rsid w:val="00677425"/>
    <w:rsid w:val="006774DE"/>
    <w:rsid w:val="0067776E"/>
    <w:rsid w:val="00680004"/>
    <w:rsid w:val="00680797"/>
    <w:rsid w:val="006820F8"/>
    <w:rsid w:val="00683406"/>
    <w:rsid w:val="00683FC6"/>
    <w:rsid w:val="00683FE0"/>
    <w:rsid w:val="0068442B"/>
    <w:rsid w:val="0068526E"/>
    <w:rsid w:val="0068586C"/>
    <w:rsid w:val="00685F70"/>
    <w:rsid w:val="006870A9"/>
    <w:rsid w:val="00687CC0"/>
    <w:rsid w:val="00687D6F"/>
    <w:rsid w:val="006904B0"/>
    <w:rsid w:val="00692C76"/>
    <w:rsid w:val="00693AB0"/>
    <w:rsid w:val="00694587"/>
    <w:rsid w:val="0069463B"/>
    <w:rsid w:val="00694A8D"/>
    <w:rsid w:val="00694D48"/>
    <w:rsid w:val="00695319"/>
    <w:rsid w:val="006A13EF"/>
    <w:rsid w:val="006A198A"/>
    <w:rsid w:val="006A4976"/>
    <w:rsid w:val="006A53FE"/>
    <w:rsid w:val="006A5401"/>
    <w:rsid w:val="006A5EE0"/>
    <w:rsid w:val="006A6D73"/>
    <w:rsid w:val="006B05C9"/>
    <w:rsid w:val="006B0B4A"/>
    <w:rsid w:val="006B0DE0"/>
    <w:rsid w:val="006B1578"/>
    <w:rsid w:val="006B16ED"/>
    <w:rsid w:val="006B1770"/>
    <w:rsid w:val="006B1B41"/>
    <w:rsid w:val="006B21D6"/>
    <w:rsid w:val="006B2219"/>
    <w:rsid w:val="006B30DC"/>
    <w:rsid w:val="006B50FB"/>
    <w:rsid w:val="006B5503"/>
    <w:rsid w:val="006B5666"/>
    <w:rsid w:val="006B768D"/>
    <w:rsid w:val="006B7F59"/>
    <w:rsid w:val="006C34D3"/>
    <w:rsid w:val="006C3746"/>
    <w:rsid w:val="006C3CE7"/>
    <w:rsid w:val="006C758F"/>
    <w:rsid w:val="006D02EF"/>
    <w:rsid w:val="006D2238"/>
    <w:rsid w:val="006D44E6"/>
    <w:rsid w:val="006D54C2"/>
    <w:rsid w:val="006E13D0"/>
    <w:rsid w:val="006E2274"/>
    <w:rsid w:val="006E2C7D"/>
    <w:rsid w:val="006E750D"/>
    <w:rsid w:val="006E789F"/>
    <w:rsid w:val="006F2B5B"/>
    <w:rsid w:val="006F5BF6"/>
    <w:rsid w:val="006F6C96"/>
    <w:rsid w:val="006F7E0A"/>
    <w:rsid w:val="0070199E"/>
    <w:rsid w:val="00701B9F"/>
    <w:rsid w:val="00702169"/>
    <w:rsid w:val="007028A9"/>
    <w:rsid w:val="0070462D"/>
    <w:rsid w:val="00704F0F"/>
    <w:rsid w:val="00704F53"/>
    <w:rsid w:val="0070595C"/>
    <w:rsid w:val="007063C3"/>
    <w:rsid w:val="00706ED9"/>
    <w:rsid w:val="00707E8D"/>
    <w:rsid w:val="00710CB3"/>
    <w:rsid w:val="00711604"/>
    <w:rsid w:val="00711DD3"/>
    <w:rsid w:val="00712038"/>
    <w:rsid w:val="007121F7"/>
    <w:rsid w:val="00712DFC"/>
    <w:rsid w:val="00713249"/>
    <w:rsid w:val="0071393D"/>
    <w:rsid w:val="007152BD"/>
    <w:rsid w:val="007153F6"/>
    <w:rsid w:val="00715BF8"/>
    <w:rsid w:val="007160E1"/>
    <w:rsid w:val="00717FEA"/>
    <w:rsid w:val="007201D4"/>
    <w:rsid w:val="00720774"/>
    <w:rsid w:val="00720AC6"/>
    <w:rsid w:val="00720C26"/>
    <w:rsid w:val="007214E9"/>
    <w:rsid w:val="007241F7"/>
    <w:rsid w:val="007266BF"/>
    <w:rsid w:val="0072696B"/>
    <w:rsid w:val="00727210"/>
    <w:rsid w:val="007301FB"/>
    <w:rsid w:val="0073156A"/>
    <w:rsid w:val="00732AE9"/>
    <w:rsid w:val="0073306F"/>
    <w:rsid w:val="00733ADE"/>
    <w:rsid w:val="00733EC8"/>
    <w:rsid w:val="007340A4"/>
    <w:rsid w:val="00734A97"/>
    <w:rsid w:val="00734E4C"/>
    <w:rsid w:val="00735267"/>
    <w:rsid w:val="00735DBC"/>
    <w:rsid w:val="00736E65"/>
    <w:rsid w:val="00737E69"/>
    <w:rsid w:val="007415F0"/>
    <w:rsid w:val="007416B4"/>
    <w:rsid w:val="007441A1"/>
    <w:rsid w:val="00744E8F"/>
    <w:rsid w:val="00744EC6"/>
    <w:rsid w:val="00745AA8"/>
    <w:rsid w:val="00746287"/>
    <w:rsid w:val="00746C88"/>
    <w:rsid w:val="0075065F"/>
    <w:rsid w:val="00751D58"/>
    <w:rsid w:val="00752322"/>
    <w:rsid w:val="007528B1"/>
    <w:rsid w:val="00753320"/>
    <w:rsid w:val="00753B67"/>
    <w:rsid w:val="00754ECF"/>
    <w:rsid w:val="0075513B"/>
    <w:rsid w:val="00755704"/>
    <w:rsid w:val="007563C8"/>
    <w:rsid w:val="007568E5"/>
    <w:rsid w:val="00757AF1"/>
    <w:rsid w:val="0076177A"/>
    <w:rsid w:val="00762C62"/>
    <w:rsid w:val="00762EF7"/>
    <w:rsid w:val="007631E0"/>
    <w:rsid w:val="0076429E"/>
    <w:rsid w:val="0076470F"/>
    <w:rsid w:val="0076756F"/>
    <w:rsid w:val="0077054B"/>
    <w:rsid w:val="00772779"/>
    <w:rsid w:val="007741A8"/>
    <w:rsid w:val="00775A33"/>
    <w:rsid w:val="00775D3C"/>
    <w:rsid w:val="00775F83"/>
    <w:rsid w:val="00776587"/>
    <w:rsid w:val="007774E5"/>
    <w:rsid w:val="007774F7"/>
    <w:rsid w:val="00777B54"/>
    <w:rsid w:val="00780071"/>
    <w:rsid w:val="00780257"/>
    <w:rsid w:val="007804B5"/>
    <w:rsid w:val="0078077B"/>
    <w:rsid w:val="0078083B"/>
    <w:rsid w:val="00781D32"/>
    <w:rsid w:val="00782E8C"/>
    <w:rsid w:val="00784856"/>
    <w:rsid w:val="0078529A"/>
    <w:rsid w:val="00785BD2"/>
    <w:rsid w:val="00785C81"/>
    <w:rsid w:val="00785F59"/>
    <w:rsid w:val="007875D5"/>
    <w:rsid w:val="00787956"/>
    <w:rsid w:val="00790C9F"/>
    <w:rsid w:val="0079105A"/>
    <w:rsid w:val="007912A2"/>
    <w:rsid w:val="0079263D"/>
    <w:rsid w:val="007931D3"/>
    <w:rsid w:val="0079337C"/>
    <w:rsid w:val="00794207"/>
    <w:rsid w:val="00794954"/>
    <w:rsid w:val="00794E71"/>
    <w:rsid w:val="0079526B"/>
    <w:rsid w:val="00796666"/>
    <w:rsid w:val="00796985"/>
    <w:rsid w:val="00797EEF"/>
    <w:rsid w:val="007A01C6"/>
    <w:rsid w:val="007A0DD8"/>
    <w:rsid w:val="007A1548"/>
    <w:rsid w:val="007A1D28"/>
    <w:rsid w:val="007A3B89"/>
    <w:rsid w:val="007A3D67"/>
    <w:rsid w:val="007A5D43"/>
    <w:rsid w:val="007A6E98"/>
    <w:rsid w:val="007A7593"/>
    <w:rsid w:val="007B1D15"/>
    <w:rsid w:val="007B21AA"/>
    <w:rsid w:val="007B2C48"/>
    <w:rsid w:val="007B3C6A"/>
    <w:rsid w:val="007B3E3E"/>
    <w:rsid w:val="007B3E78"/>
    <w:rsid w:val="007B5581"/>
    <w:rsid w:val="007B5669"/>
    <w:rsid w:val="007B573D"/>
    <w:rsid w:val="007B61E0"/>
    <w:rsid w:val="007B6425"/>
    <w:rsid w:val="007B6DD5"/>
    <w:rsid w:val="007B6EC5"/>
    <w:rsid w:val="007B6EDD"/>
    <w:rsid w:val="007B72E1"/>
    <w:rsid w:val="007B7C97"/>
    <w:rsid w:val="007C09C1"/>
    <w:rsid w:val="007C25C1"/>
    <w:rsid w:val="007C4654"/>
    <w:rsid w:val="007C47C4"/>
    <w:rsid w:val="007C4F24"/>
    <w:rsid w:val="007C7601"/>
    <w:rsid w:val="007C784D"/>
    <w:rsid w:val="007D074F"/>
    <w:rsid w:val="007D13A0"/>
    <w:rsid w:val="007D159D"/>
    <w:rsid w:val="007D1E7B"/>
    <w:rsid w:val="007D33BE"/>
    <w:rsid w:val="007D3AB5"/>
    <w:rsid w:val="007D3D84"/>
    <w:rsid w:val="007D53E7"/>
    <w:rsid w:val="007D65C0"/>
    <w:rsid w:val="007D70C1"/>
    <w:rsid w:val="007E16BE"/>
    <w:rsid w:val="007E295A"/>
    <w:rsid w:val="007E3C81"/>
    <w:rsid w:val="007E3DE5"/>
    <w:rsid w:val="007E44A3"/>
    <w:rsid w:val="007E6CB9"/>
    <w:rsid w:val="007F0EA8"/>
    <w:rsid w:val="007F1DC7"/>
    <w:rsid w:val="007F3401"/>
    <w:rsid w:val="007F3D86"/>
    <w:rsid w:val="007F45EE"/>
    <w:rsid w:val="007F5043"/>
    <w:rsid w:val="007F5AF1"/>
    <w:rsid w:val="007F64E8"/>
    <w:rsid w:val="007F71C9"/>
    <w:rsid w:val="007F76F2"/>
    <w:rsid w:val="007F7762"/>
    <w:rsid w:val="007F7C14"/>
    <w:rsid w:val="0080059E"/>
    <w:rsid w:val="00800BB4"/>
    <w:rsid w:val="008043AC"/>
    <w:rsid w:val="00804586"/>
    <w:rsid w:val="00804849"/>
    <w:rsid w:val="008052CC"/>
    <w:rsid w:val="00805A82"/>
    <w:rsid w:val="00806790"/>
    <w:rsid w:val="0080701C"/>
    <w:rsid w:val="008111DD"/>
    <w:rsid w:val="008112C0"/>
    <w:rsid w:val="0081145A"/>
    <w:rsid w:val="00813037"/>
    <w:rsid w:val="00813341"/>
    <w:rsid w:val="00814D5D"/>
    <w:rsid w:val="0081597F"/>
    <w:rsid w:val="00815C56"/>
    <w:rsid w:val="00816B16"/>
    <w:rsid w:val="00816DFD"/>
    <w:rsid w:val="00820F36"/>
    <w:rsid w:val="0082400E"/>
    <w:rsid w:val="008241ED"/>
    <w:rsid w:val="00824314"/>
    <w:rsid w:val="00826825"/>
    <w:rsid w:val="00826B17"/>
    <w:rsid w:val="00826E9D"/>
    <w:rsid w:val="00831414"/>
    <w:rsid w:val="00832E73"/>
    <w:rsid w:val="008337BA"/>
    <w:rsid w:val="008338C3"/>
    <w:rsid w:val="008410A8"/>
    <w:rsid w:val="00841BE5"/>
    <w:rsid w:val="00844FAB"/>
    <w:rsid w:val="00846EED"/>
    <w:rsid w:val="00847CDE"/>
    <w:rsid w:val="008507CE"/>
    <w:rsid w:val="00852548"/>
    <w:rsid w:val="00854BA3"/>
    <w:rsid w:val="00856146"/>
    <w:rsid w:val="008565F0"/>
    <w:rsid w:val="00857F21"/>
    <w:rsid w:val="0086091B"/>
    <w:rsid w:val="00860ADC"/>
    <w:rsid w:val="00860CB8"/>
    <w:rsid w:val="00861A01"/>
    <w:rsid w:val="00861E31"/>
    <w:rsid w:val="00863BB6"/>
    <w:rsid w:val="00864D48"/>
    <w:rsid w:val="00864EC6"/>
    <w:rsid w:val="00870A95"/>
    <w:rsid w:val="0087589C"/>
    <w:rsid w:val="00876B8C"/>
    <w:rsid w:val="00876C62"/>
    <w:rsid w:val="008802B9"/>
    <w:rsid w:val="0088089D"/>
    <w:rsid w:val="00883093"/>
    <w:rsid w:val="00883620"/>
    <w:rsid w:val="00884637"/>
    <w:rsid w:val="00885946"/>
    <w:rsid w:val="00887AFB"/>
    <w:rsid w:val="00892D28"/>
    <w:rsid w:val="008935FD"/>
    <w:rsid w:val="00894DE8"/>
    <w:rsid w:val="00894F9B"/>
    <w:rsid w:val="0089749C"/>
    <w:rsid w:val="008A17FC"/>
    <w:rsid w:val="008A1F3B"/>
    <w:rsid w:val="008A2513"/>
    <w:rsid w:val="008A2720"/>
    <w:rsid w:val="008A3153"/>
    <w:rsid w:val="008A3AAD"/>
    <w:rsid w:val="008A3ECB"/>
    <w:rsid w:val="008A506B"/>
    <w:rsid w:val="008A6FA1"/>
    <w:rsid w:val="008A7416"/>
    <w:rsid w:val="008A7BE0"/>
    <w:rsid w:val="008B04D8"/>
    <w:rsid w:val="008B0831"/>
    <w:rsid w:val="008B1060"/>
    <w:rsid w:val="008B188C"/>
    <w:rsid w:val="008B1C4B"/>
    <w:rsid w:val="008B2643"/>
    <w:rsid w:val="008B325B"/>
    <w:rsid w:val="008B34E3"/>
    <w:rsid w:val="008B4338"/>
    <w:rsid w:val="008B78F7"/>
    <w:rsid w:val="008C13BE"/>
    <w:rsid w:val="008C1544"/>
    <w:rsid w:val="008C1D50"/>
    <w:rsid w:val="008C43FD"/>
    <w:rsid w:val="008C5A26"/>
    <w:rsid w:val="008C7A05"/>
    <w:rsid w:val="008D1073"/>
    <w:rsid w:val="008D157A"/>
    <w:rsid w:val="008D290C"/>
    <w:rsid w:val="008D2C9D"/>
    <w:rsid w:val="008D2F50"/>
    <w:rsid w:val="008D3699"/>
    <w:rsid w:val="008D3B53"/>
    <w:rsid w:val="008D4895"/>
    <w:rsid w:val="008D5E3C"/>
    <w:rsid w:val="008D6450"/>
    <w:rsid w:val="008D7054"/>
    <w:rsid w:val="008D7DF7"/>
    <w:rsid w:val="008E0772"/>
    <w:rsid w:val="008E140D"/>
    <w:rsid w:val="008E17EC"/>
    <w:rsid w:val="008E271C"/>
    <w:rsid w:val="008E3C11"/>
    <w:rsid w:val="008E501C"/>
    <w:rsid w:val="008E5BDD"/>
    <w:rsid w:val="008E756C"/>
    <w:rsid w:val="008F0A06"/>
    <w:rsid w:val="008F0C5F"/>
    <w:rsid w:val="008F1B2C"/>
    <w:rsid w:val="008F1ED6"/>
    <w:rsid w:val="008F6686"/>
    <w:rsid w:val="008F7FE4"/>
    <w:rsid w:val="00901440"/>
    <w:rsid w:val="0090238D"/>
    <w:rsid w:val="00903C00"/>
    <w:rsid w:val="00905A7F"/>
    <w:rsid w:val="009107E8"/>
    <w:rsid w:val="00910890"/>
    <w:rsid w:val="00911815"/>
    <w:rsid w:val="009122E0"/>
    <w:rsid w:val="0091334C"/>
    <w:rsid w:val="00915D59"/>
    <w:rsid w:val="0091762B"/>
    <w:rsid w:val="009212BB"/>
    <w:rsid w:val="0092314C"/>
    <w:rsid w:val="0092348E"/>
    <w:rsid w:val="00923FD6"/>
    <w:rsid w:val="00924EB8"/>
    <w:rsid w:val="00925121"/>
    <w:rsid w:val="00925A89"/>
    <w:rsid w:val="00925E57"/>
    <w:rsid w:val="009270B9"/>
    <w:rsid w:val="009272E0"/>
    <w:rsid w:val="00927B2A"/>
    <w:rsid w:val="0093085F"/>
    <w:rsid w:val="00930F50"/>
    <w:rsid w:val="0093141E"/>
    <w:rsid w:val="0093181D"/>
    <w:rsid w:val="00931BA3"/>
    <w:rsid w:val="009322FF"/>
    <w:rsid w:val="009325E4"/>
    <w:rsid w:val="00932A87"/>
    <w:rsid w:val="00933712"/>
    <w:rsid w:val="009352A1"/>
    <w:rsid w:val="00935D40"/>
    <w:rsid w:val="00936369"/>
    <w:rsid w:val="00936F7F"/>
    <w:rsid w:val="009376F5"/>
    <w:rsid w:val="00940476"/>
    <w:rsid w:val="00940F3C"/>
    <w:rsid w:val="00942786"/>
    <w:rsid w:val="00943AEA"/>
    <w:rsid w:val="00944A5F"/>
    <w:rsid w:val="0094531C"/>
    <w:rsid w:val="00947187"/>
    <w:rsid w:val="00947E7B"/>
    <w:rsid w:val="0095197F"/>
    <w:rsid w:val="00951BAE"/>
    <w:rsid w:val="0095362B"/>
    <w:rsid w:val="00954032"/>
    <w:rsid w:val="00955662"/>
    <w:rsid w:val="009569A4"/>
    <w:rsid w:val="00956C26"/>
    <w:rsid w:val="00956C68"/>
    <w:rsid w:val="009570E2"/>
    <w:rsid w:val="009573C4"/>
    <w:rsid w:val="00961378"/>
    <w:rsid w:val="00962BF7"/>
    <w:rsid w:val="00963450"/>
    <w:rsid w:val="009635E8"/>
    <w:rsid w:val="00963659"/>
    <w:rsid w:val="00964997"/>
    <w:rsid w:val="00964DEF"/>
    <w:rsid w:val="009654A7"/>
    <w:rsid w:val="009655B0"/>
    <w:rsid w:val="00967577"/>
    <w:rsid w:val="009701F8"/>
    <w:rsid w:val="00970A15"/>
    <w:rsid w:val="009710EC"/>
    <w:rsid w:val="00974B4F"/>
    <w:rsid w:val="009757B0"/>
    <w:rsid w:val="00977897"/>
    <w:rsid w:val="00981A0B"/>
    <w:rsid w:val="00981C76"/>
    <w:rsid w:val="00984E35"/>
    <w:rsid w:val="00984E80"/>
    <w:rsid w:val="00985702"/>
    <w:rsid w:val="00985DD8"/>
    <w:rsid w:val="009863D6"/>
    <w:rsid w:val="00986EDF"/>
    <w:rsid w:val="00990406"/>
    <w:rsid w:val="00990F59"/>
    <w:rsid w:val="0099136C"/>
    <w:rsid w:val="009927FC"/>
    <w:rsid w:val="00995F0E"/>
    <w:rsid w:val="0099624E"/>
    <w:rsid w:val="00996678"/>
    <w:rsid w:val="0099700B"/>
    <w:rsid w:val="00997018"/>
    <w:rsid w:val="009A0444"/>
    <w:rsid w:val="009A0B76"/>
    <w:rsid w:val="009A3643"/>
    <w:rsid w:val="009A3C2F"/>
    <w:rsid w:val="009A3CA7"/>
    <w:rsid w:val="009A3DBD"/>
    <w:rsid w:val="009A4CA1"/>
    <w:rsid w:val="009A5644"/>
    <w:rsid w:val="009A56E6"/>
    <w:rsid w:val="009A75AF"/>
    <w:rsid w:val="009B00A9"/>
    <w:rsid w:val="009B064F"/>
    <w:rsid w:val="009B1505"/>
    <w:rsid w:val="009B2250"/>
    <w:rsid w:val="009B22F0"/>
    <w:rsid w:val="009B23E5"/>
    <w:rsid w:val="009B32E0"/>
    <w:rsid w:val="009B3A44"/>
    <w:rsid w:val="009B4EA4"/>
    <w:rsid w:val="009B5D61"/>
    <w:rsid w:val="009B605D"/>
    <w:rsid w:val="009B7AB1"/>
    <w:rsid w:val="009C041B"/>
    <w:rsid w:val="009C0CB8"/>
    <w:rsid w:val="009C1244"/>
    <w:rsid w:val="009C19AA"/>
    <w:rsid w:val="009C2ED7"/>
    <w:rsid w:val="009C2F5E"/>
    <w:rsid w:val="009C4251"/>
    <w:rsid w:val="009C4C02"/>
    <w:rsid w:val="009C5295"/>
    <w:rsid w:val="009C5D2B"/>
    <w:rsid w:val="009C665B"/>
    <w:rsid w:val="009C74B6"/>
    <w:rsid w:val="009D2753"/>
    <w:rsid w:val="009D4662"/>
    <w:rsid w:val="009D4E68"/>
    <w:rsid w:val="009D6A48"/>
    <w:rsid w:val="009D70C9"/>
    <w:rsid w:val="009D7657"/>
    <w:rsid w:val="009D7A1E"/>
    <w:rsid w:val="009D7F54"/>
    <w:rsid w:val="009E033D"/>
    <w:rsid w:val="009E0938"/>
    <w:rsid w:val="009E0970"/>
    <w:rsid w:val="009E152F"/>
    <w:rsid w:val="009E17BA"/>
    <w:rsid w:val="009E185F"/>
    <w:rsid w:val="009E27D4"/>
    <w:rsid w:val="009E2D03"/>
    <w:rsid w:val="009E3E53"/>
    <w:rsid w:val="009E5BDE"/>
    <w:rsid w:val="009E6FBF"/>
    <w:rsid w:val="009E77CA"/>
    <w:rsid w:val="009F0019"/>
    <w:rsid w:val="009F0AA2"/>
    <w:rsid w:val="009F1BE4"/>
    <w:rsid w:val="009F5F73"/>
    <w:rsid w:val="009F61C6"/>
    <w:rsid w:val="009F6F1D"/>
    <w:rsid w:val="00A01585"/>
    <w:rsid w:val="00A02990"/>
    <w:rsid w:val="00A02B05"/>
    <w:rsid w:val="00A03F78"/>
    <w:rsid w:val="00A041E4"/>
    <w:rsid w:val="00A04757"/>
    <w:rsid w:val="00A0538F"/>
    <w:rsid w:val="00A05970"/>
    <w:rsid w:val="00A05C97"/>
    <w:rsid w:val="00A067B6"/>
    <w:rsid w:val="00A07DC2"/>
    <w:rsid w:val="00A1212D"/>
    <w:rsid w:val="00A12912"/>
    <w:rsid w:val="00A12EE0"/>
    <w:rsid w:val="00A135E8"/>
    <w:rsid w:val="00A1658D"/>
    <w:rsid w:val="00A16EF0"/>
    <w:rsid w:val="00A21395"/>
    <w:rsid w:val="00A21900"/>
    <w:rsid w:val="00A2214F"/>
    <w:rsid w:val="00A2225B"/>
    <w:rsid w:val="00A222B8"/>
    <w:rsid w:val="00A22B4B"/>
    <w:rsid w:val="00A23D1F"/>
    <w:rsid w:val="00A24A83"/>
    <w:rsid w:val="00A25051"/>
    <w:rsid w:val="00A26011"/>
    <w:rsid w:val="00A26279"/>
    <w:rsid w:val="00A315BC"/>
    <w:rsid w:val="00A316AA"/>
    <w:rsid w:val="00A31930"/>
    <w:rsid w:val="00A329F6"/>
    <w:rsid w:val="00A33B70"/>
    <w:rsid w:val="00A33BBE"/>
    <w:rsid w:val="00A34C8C"/>
    <w:rsid w:val="00A34EC9"/>
    <w:rsid w:val="00A34ED3"/>
    <w:rsid w:val="00A3593A"/>
    <w:rsid w:val="00A35A04"/>
    <w:rsid w:val="00A43401"/>
    <w:rsid w:val="00A4382A"/>
    <w:rsid w:val="00A50E22"/>
    <w:rsid w:val="00A522E8"/>
    <w:rsid w:val="00A5307A"/>
    <w:rsid w:val="00A53423"/>
    <w:rsid w:val="00A553D5"/>
    <w:rsid w:val="00A558D0"/>
    <w:rsid w:val="00A57073"/>
    <w:rsid w:val="00A57DB1"/>
    <w:rsid w:val="00A6092B"/>
    <w:rsid w:val="00A6462E"/>
    <w:rsid w:val="00A6549A"/>
    <w:rsid w:val="00A65AEB"/>
    <w:rsid w:val="00A67114"/>
    <w:rsid w:val="00A67F4B"/>
    <w:rsid w:val="00A704D4"/>
    <w:rsid w:val="00A7120E"/>
    <w:rsid w:val="00A7183E"/>
    <w:rsid w:val="00A738FB"/>
    <w:rsid w:val="00A73AE0"/>
    <w:rsid w:val="00A76B8B"/>
    <w:rsid w:val="00A80324"/>
    <w:rsid w:val="00A82D41"/>
    <w:rsid w:val="00A84392"/>
    <w:rsid w:val="00A84FBE"/>
    <w:rsid w:val="00A8536F"/>
    <w:rsid w:val="00A87A57"/>
    <w:rsid w:val="00A87C66"/>
    <w:rsid w:val="00A91181"/>
    <w:rsid w:val="00A97B80"/>
    <w:rsid w:val="00AA04E9"/>
    <w:rsid w:val="00AA11BF"/>
    <w:rsid w:val="00AA1577"/>
    <w:rsid w:val="00AA2833"/>
    <w:rsid w:val="00AA3BC3"/>
    <w:rsid w:val="00AA4611"/>
    <w:rsid w:val="00AA56BA"/>
    <w:rsid w:val="00AA5793"/>
    <w:rsid w:val="00AA6746"/>
    <w:rsid w:val="00AA6990"/>
    <w:rsid w:val="00AB1079"/>
    <w:rsid w:val="00AB12D8"/>
    <w:rsid w:val="00AB197B"/>
    <w:rsid w:val="00AB31E0"/>
    <w:rsid w:val="00AB3EDA"/>
    <w:rsid w:val="00AB44FF"/>
    <w:rsid w:val="00AB5BC1"/>
    <w:rsid w:val="00AB7B39"/>
    <w:rsid w:val="00AC0077"/>
    <w:rsid w:val="00AC01F2"/>
    <w:rsid w:val="00AC04B1"/>
    <w:rsid w:val="00AC04B8"/>
    <w:rsid w:val="00AC0C2A"/>
    <w:rsid w:val="00AC150E"/>
    <w:rsid w:val="00AC1D4A"/>
    <w:rsid w:val="00AC219D"/>
    <w:rsid w:val="00AC3166"/>
    <w:rsid w:val="00AC317A"/>
    <w:rsid w:val="00AC38E1"/>
    <w:rsid w:val="00AC3D4C"/>
    <w:rsid w:val="00AC5238"/>
    <w:rsid w:val="00AD00AE"/>
    <w:rsid w:val="00AD034A"/>
    <w:rsid w:val="00AD0FA4"/>
    <w:rsid w:val="00AD1AD3"/>
    <w:rsid w:val="00AD1D8B"/>
    <w:rsid w:val="00AD3B92"/>
    <w:rsid w:val="00AD3DB3"/>
    <w:rsid w:val="00AD3F13"/>
    <w:rsid w:val="00AD439C"/>
    <w:rsid w:val="00AD63C8"/>
    <w:rsid w:val="00AD69AF"/>
    <w:rsid w:val="00AE20A2"/>
    <w:rsid w:val="00AE307C"/>
    <w:rsid w:val="00AE36D9"/>
    <w:rsid w:val="00AE4942"/>
    <w:rsid w:val="00AE707D"/>
    <w:rsid w:val="00AE784C"/>
    <w:rsid w:val="00AE7FD3"/>
    <w:rsid w:val="00AF03D7"/>
    <w:rsid w:val="00AF11DE"/>
    <w:rsid w:val="00AF14A8"/>
    <w:rsid w:val="00AF17AA"/>
    <w:rsid w:val="00AF2167"/>
    <w:rsid w:val="00AF29DC"/>
    <w:rsid w:val="00AF36B2"/>
    <w:rsid w:val="00AF45B5"/>
    <w:rsid w:val="00AF5244"/>
    <w:rsid w:val="00AF6DA6"/>
    <w:rsid w:val="00AF7672"/>
    <w:rsid w:val="00B0094A"/>
    <w:rsid w:val="00B022D9"/>
    <w:rsid w:val="00B0250B"/>
    <w:rsid w:val="00B029C8"/>
    <w:rsid w:val="00B0363C"/>
    <w:rsid w:val="00B03A58"/>
    <w:rsid w:val="00B04CFE"/>
    <w:rsid w:val="00B06904"/>
    <w:rsid w:val="00B0778D"/>
    <w:rsid w:val="00B1060C"/>
    <w:rsid w:val="00B106FD"/>
    <w:rsid w:val="00B12841"/>
    <w:rsid w:val="00B15819"/>
    <w:rsid w:val="00B15B34"/>
    <w:rsid w:val="00B16706"/>
    <w:rsid w:val="00B21219"/>
    <w:rsid w:val="00B224B0"/>
    <w:rsid w:val="00B2271B"/>
    <w:rsid w:val="00B23503"/>
    <w:rsid w:val="00B24C8F"/>
    <w:rsid w:val="00B25900"/>
    <w:rsid w:val="00B25DFB"/>
    <w:rsid w:val="00B27179"/>
    <w:rsid w:val="00B277B3"/>
    <w:rsid w:val="00B30741"/>
    <w:rsid w:val="00B31C55"/>
    <w:rsid w:val="00B32136"/>
    <w:rsid w:val="00B33E48"/>
    <w:rsid w:val="00B348F5"/>
    <w:rsid w:val="00B364D2"/>
    <w:rsid w:val="00B3756B"/>
    <w:rsid w:val="00B41DBD"/>
    <w:rsid w:val="00B42A2E"/>
    <w:rsid w:val="00B432DC"/>
    <w:rsid w:val="00B435FA"/>
    <w:rsid w:val="00B445E5"/>
    <w:rsid w:val="00B45E71"/>
    <w:rsid w:val="00B466A4"/>
    <w:rsid w:val="00B46BDA"/>
    <w:rsid w:val="00B46BF4"/>
    <w:rsid w:val="00B47511"/>
    <w:rsid w:val="00B5027A"/>
    <w:rsid w:val="00B51546"/>
    <w:rsid w:val="00B51B2E"/>
    <w:rsid w:val="00B51EB4"/>
    <w:rsid w:val="00B526BB"/>
    <w:rsid w:val="00B5348A"/>
    <w:rsid w:val="00B544FD"/>
    <w:rsid w:val="00B54882"/>
    <w:rsid w:val="00B54B7F"/>
    <w:rsid w:val="00B558EA"/>
    <w:rsid w:val="00B5641D"/>
    <w:rsid w:val="00B60E0E"/>
    <w:rsid w:val="00B62599"/>
    <w:rsid w:val="00B63208"/>
    <w:rsid w:val="00B63645"/>
    <w:rsid w:val="00B64951"/>
    <w:rsid w:val="00B66357"/>
    <w:rsid w:val="00B66B45"/>
    <w:rsid w:val="00B67195"/>
    <w:rsid w:val="00B67387"/>
    <w:rsid w:val="00B701D8"/>
    <w:rsid w:val="00B70427"/>
    <w:rsid w:val="00B70524"/>
    <w:rsid w:val="00B7242D"/>
    <w:rsid w:val="00B7739F"/>
    <w:rsid w:val="00B77528"/>
    <w:rsid w:val="00B80BFB"/>
    <w:rsid w:val="00B80DD1"/>
    <w:rsid w:val="00B81FF2"/>
    <w:rsid w:val="00B8392E"/>
    <w:rsid w:val="00B854F3"/>
    <w:rsid w:val="00B8590D"/>
    <w:rsid w:val="00B86BDB"/>
    <w:rsid w:val="00B90443"/>
    <w:rsid w:val="00B90459"/>
    <w:rsid w:val="00B9067B"/>
    <w:rsid w:val="00B90693"/>
    <w:rsid w:val="00B90CB2"/>
    <w:rsid w:val="00B92C6A"/>
    <w:rsid w:val="00B92F14"/>
    <w:rsid w:val="00B94E51"/>
    <w:rsid w:val="00B95048"/>
    <w:rsid w:val="00B96E3E"/>
    <w:rsid w:val="00B97598"/>
    <w:rsid w:val="00B975B5"/>
    <w:rsid w:val="00BA1D9A"/>
    <w:rsid w:val="00BA1E54"/>
    <w:rsid w:val="00BA2924"/>
    <w:rsid w:val="00BA34D4"/>
    <w:rsid w:val="00BA4060"/>
    <w:rsid w:val="00BA5B06"/>
    <w:rsid w:val="00BA67CA"/>
    <w:rsid w:val="00BA7359"/>
    <w:rsid w:val="00BA79C5"/>
    <w:rsid w:val="00BB0020"/>
    <w:rsid w:val="00BB05F1"/>
    <w:rsid w:val="00BB28BC"/>
    <w:rsid w:val="00BB49F0"/>
    <w:rsid w:val="00BB4B7E"/>
    <w:rsid w:val="00BB5494"/>
    <w:rsid w:val="00BB6F58"/>
    <w:rsid w:val="00BB71FC"/>
    <w:rsid w:val="00BC0EB6"/>
    <w:rsid w:val="00BC1159"/>
    <w:rsid w:val="00BC119C"/>
    <w:rsid w:val="00BC183A"/>
    <w:rsid w:val="00BC3877"/>
    <w:rsid w:val="00BC5313"/>
    <w:rsid w:val="00BC5A91"/>
    <w:rsid w:val="00BD1725"/>
    <w:rsid w:val="00BD1868"/>
    <w:rsid w:val="00BD2D09"/>
    <w:rsid w:val="00BD52E7"/>
    <w:rsid w:val="00BD62AB"/>
    <w:rsid w:val="00BD6BCE"/>
    <w:rsid w:val="00BE1C52"/>
    <w:rsid w:val="00BE22BC"/>
    <w:rsid w:val="00BE31CD"/>
    <w:rsid w:val="00BE4C54"/>
    <w:rsid w:val="00BE6378"/>
    <w:rsid w:val="00BE6E77"/>
    <w:rsid w:val="00BF1746"/>
    <w:rsid w:val="00BF215B"/>
    <w:rsid w:val="00BF641D"/>
    <w:rsid w:val="00BF66CD"/>
    <w:rsid w:val="00BF7FF2"/>
    <w:rsid w:val="00C01EF3"/>
    <w:rsid w:val="00C03741"/>
    <w:rsid w:val="00C03EAE"/>
    <w:rsid w:val="00C03FD5"/>
    <w:rsid w:val="00C04612"/>
    <w:rsid w:val="00C10708"/>
    <w:rsid w:val="00C109DF"/>
    <w:rsid w:val="00C11486"/>
    <w:rsid w:val="00C12F75"/>
    <w:rsid w:val="00C13200"/>
    <w:rsid w:val="00C13329"/>
    <w:rsid w:val="00C14383"/>
    <w:rsid w:val="00C15F24"/>
    <w:rsid w:val="00C2010C"/>
    <w:rsid w:val="00C20C28"/>
    <w:rsid w:val="00C219F6"/>
    <w:rsid w:val="00C2368E"/>
    <w:rsid w:val="00C243DA"/>
    <w:rsid w:val="00C25EDD"/>
    <w:rsid w:val="00C2775C"/>
    <w:rsid w:val="00C27894"/>
    <w:rsid w:val="00C31317"/>
    <w:rsid w:val="00C313C1"/>
    <w:rsid w:val="00C314B8"/>
    <w:rsid w:val="00C32BE7"/>
    <w:rsid w:val="00C32D5F"/>
    <w:rsid w:val="00C34E77"/>
    <w:rsid w:val="00C352B6"/>
    <w:rsid w:val="00C35469"/>
    <w:rsid w:val="00C35858"/>
    <w:rsid w:val="00C35E62"/>
    <w:rsid w:val="00C36B81"/>
    <w:rsid w:val="00C37BFC"/>
    <w:rsid w:val="00C407B1"/>
    <w:rsid w:val="00C41E3E"/>
    <w:rsid w:val="00C42ABA"/>
    <w:rsid w:val="00C4330C"/>
    <w:rsid w:val="00C45896"/>
    <w:rsid w:val="00C45B6D"/>
    <w:rsid w:val="00C47B8A"/>
    <w:rsid w:val="00C47C0E"/>
    <w:rsid w:val="00C50BE1"/>
    <w:rsid w:val="00C51117"/>
    <w:rsid w:val="00C5120A"/>
    <w:rsid w:val="00C51D77"/>
    <w:rsid w:val="00C524DD"/>
    <w:rsid w:val="00C52A40"/>
    <w:rsid w:val="00C52FFF"/>
    <w:rsid w:val="00C53BA1"/>
    <w:rsid w:val="00C53C9F"/>
    <w:rsid w:val="00C54FE8"/>
    <w:rsid w:val="00C55B51"/>
    <w:rsid w:val="00C574CC"/>
    <w:rsid w:val="00C625E6"/>
    <w:rsid w:val="00C62A4A"/>
    <w:rsid w:val="00C63D08"/>
    <w:rsid w:val="00C63FE1"/>
    <w:rsid w:val="00C640CD"/>
    <w:rsid w:val="00C64357"/>
    <w:rsid w:val="00C64E9E"/>
    <w:rsid w:val="00C64FD0"/>
    <w:rsid w:val="00C66409"/>
    <w:rsid w:val="00C67981"/>
    <w:rsid w:val="00C67DE1"/>
    <w:rsid w:val="00C703D0"/>
    <w:rsid w:val="00C70447"/>
    <w:rsid w:val="00C705EE"/>
    <w:rsid w:val="00C7123A"/>
    <w:rsid w:val="00C71252"/>
    <w:rsid w:val="00C746AB"/>
    <w:rsid w:val="00C75C30"/>
    <w:rsid w:val="00C76C1D"/>
    <w:rsid w:val="00C7789E"/>
    <w:rsid w:val="00C805C4"/>
    <w:rsid w:val="00C80876"/>
    <w:rsid w:val="00C80C8D"/>
    <w:rsid w:val="00C8127D"/>
    <w:rsid w:val="00C81937"/>
    <w:rsid w:val="00C81ACB"/>
    <w:rsid w:val="00C825AE"/>
    <w:rsid w:val="00C833D7"/>
    <w:rsid w:val="00C83B14"/>
    <w:rsid w:val="00C83F1D"/>
    <w:rsid w:val="00C843AF"/>
    <w:rsid w:val="00C845B0"/>
    <w:rsid w:val="00C856C9"/>
    <w:rsid w:val="00C90F69"/>
    <w:rsid w:val="00C93ECD"/>
    <w:rsid w:val="00C948C1"/>
    <w:rsid w:val="00C94AA7"/>
    <w:rsid w:val="00C94B35"/>
    <w:rsid w:val="00C94D63"/>
    <w:rsid w:val="00C95485"/>
    <w:rsid w:val="00C95945"/>
    <w:rsid w:val="00C96463"/>
    <w:rsid w:val="00C97F50"/>
    <w:rsid w:val="00CA1B2F"/>
    <w:rsid w:val="00CA1F79"/>
    <w:rsid w:val="00CA20A0"/>
    <w:rsid w:val="00CA308B"/>
    <w:rsid w:val="00CA3254"/>
    <w:rsid w:val="00CA33E4"/>
    <w:rsid w:val="00CA5884"/>
    <w:rsid w:val="00CA6B13"/>
    <w:rsid w:val="00CA6DDD"/>
    <w:rsid w:val="00CA7BA8"/>
    <w:rsid w:val="00CA7D9D"/>
    <w:rsid w:val="00CA7E72"/>
    <w:rsid w:val="00CA7F4A"/>
    <w:rsid w:val="00CB09F3"/>
    <w:rsid w:val="00CB1506"/>
    <w:rsid w:val="00CB21C5"/>
    <w:rsid w:val="00CB435F"/>
    <w:rsid w:val="00CB691D"/>
    <w:rsid w:val="00CB69DD"/>
    <w:rsid w:val="00CC0552"/>
    <w:rsid w:val="00CC0C3E"/>
    <w:rsid w:val="00CC34D1"/>
    <w:rsid w:val="00CD19DE"/>
    <w:rsid w:val="00CD3251"/>
    <w:rsid w:val="00CD4C56"/>
    <w:rsid w:val="00CD4DE9"/>
    <w:rsid w:val="00CD4F66"/>
    <w:rsid w:val="00CD5302"/>
    <w:rsid w:val="00CD632B"/>
    <w:rsid w:val="00CE1744"/>
    <w:rsid w:val="00CE19F8"/>
    <w:rsid w:val="00CE1DF0"/>
    <w:rsid w:val="00CE3159"/>
    <w:rsid w:val="00CE3543"/>
    <w:rsid w:val="00CE6CC3"/>
    <w:rsid w:val="00CF0CF6"/>
    <w:rsid w:val="00CF188F"/>
    <w:rsid w:val="00CF2074"/>
    <w:rsid w:val="00CF3F18"/>
    <w:rsid w:val="00CF3FA4"/>
    <w:rsid w:val="00CF4800"/>
    <w:rsid w:val="00CF70E3"/>
    <w:rsid w:val="00D01B52"/>
    <w:rsid w:val="00D02A41"/>
    <w:rsid w:val="00D02F0A"/>
    <w:rsid w:val="00D04785"/>
    <w:rsid w:val="00D04A69"/>
    <w:rsid w:val="00D06157"/>
    <w:rsid w:val="00D06258"/>
    <w:rsid w:val="00D06A17"/>
    <w:rsid w:val="00D117EF"/>
    <w:rsid w:val="00D1213A"/>
    <w:rsid w:val="00D12523"/>
    <w:rsid w:val="00D14092"/>
    <w:rsid w:val="00D1541E"/>
    <w:rsid w:val="00D1779D"/>
    <w:rsid w:val="00D17B04"/>
    <w:rsid w:val="00D21D83"/>
    <w:rsid w:val="00D223C6"/>
    <w:rsid w:val="00D23A91"/>
    <w:rsid w:val="00D2427E"/>
    <w:rsid w:val="00D25193"/>
    <w:rsid w:val="00D251A3"/>
    <w:rsid w:val="00D26639"/>
    <w:rsid w:val="00D26C13"/>
    <w:rsid w:val="00D306E4"/>
    <w:rsid w:val="00D30872"/>
    <w:rsid w:val="00D30A3C"/>
    <w:rsid w:val="00D3221A"/>
    <w:rsid w:val="00D3229E"/>
    <w:rsid w:val="00D32796"/>
    <w:rsid w:val="00D32E7E"/>
    <w:rsid w:val="00D33019"/>
    <w:rsid w:val="00D33477"/>
    <w:rsid w:val="00D34070"/>
    <w:rsid w:val="00D34A50"/>
    <w:rsid w:val="00D351B6"/>
    <w:rsid w:val="00D35E68"/>
    <w:rsid w:val="00D375A8"/>
    <w:rsid w:val="00D3773E"/>
    <w:rsid w:val="00D37AAB"/>
    <w:rsid w:val="00D409E6"/>
    <w:rsid w:val="00D413CF"/>
    <w:rsid w:val="00D42453"/>
    <w:rsid w:val="00D42F52"/>
    <w:rsid w:val="00D42FC9"/>
    <w:rsid w:val="00D4321D"/>
    <w:rsid w:val="00D4424B"/>
    <w:rsid w:val="00D45766"/>
    <w:rsid w:val="00D5080E"/>
    <w:rsid w:val="00D5141F"/>
    <w:rsid w:val="00D51468"/>
    <w:rsid w:val="00D52707"/>
    <w:rsid w:val="00D54D59"/>
    <w:rsid w:val="00D54D8B"/>
    <w:rsid w:val="00D54DD1"/>
    <w:rsid w:val="00D55838"/>
    <w:rsid w:val="00D55DE3"/>
    <w:rsid w:val="00D60166"/>
    <w:rsid w:val="00D6085B"/>
    <w:rsid w:val="00D61B4D"/>
    <w:rsid w:val="00D62607"/>
    <w:rsid w:val="00D6430D"/>
    <w:rsid w:val="00D64FB0"/>
    <w:rsid w:val="00D655E2"/>
    <w:rsid w:val="00D65ECE"/>
    <w:rsid w:val="00D666DD"/>
    <w:rsid w:val="00D66B44"/>
    <w:rsid w:val="00D7029F"/>
    <w:rsid w:val="00D705F0"/>
    <w:rsid w:val="00D70636"/>
    <w:rsid w:val="00D70738"/>
    <w:rsid w:val="00D715BB"/>
    <w:rsid w:val="00D718E6"/>
    <w:rsid w:val="00D724A8"/>
    <w:rsid w:val="00D72DA2"/>
    <w:rsid w:val="00D76A9F"/>
    <w:rsid w:val="00D81820"/>
    <w:rsid w:val="00D837F2"/>
    <w:rsid w:val="00D83D22"/>
    <w:rsid w:val="00D85F1E"/>
    <w:rsid w:val="00D87392"/>
    <w:rsid w:val="00D876B7"/>
    <w:rsid w:val="00D8778C"/>
    <w:rsid w:val="00D90486"/>
    <w:rsid w:val="00D91E5E"/>
    <w:rsid w:val="00D92A0C"/>
    <w:rsid w:val="00D92E5A"/>
    <w:rsid w:val="00D93B7D"/>
    <w:rsid w:val="00D945FC"/>
    <w:rsid w:val="00D94EA9"/>
    <w:rsid w:val="00D961D1"/>
    <w:rsid w:val="00DA007D"/>
    <w:rsid w:val="00DA04FA"/>
    <w:rsid w:val="00DA079F"/>
    <w:rsid w:val="00DA2041"/>
    <w:rsid w:val="00DA2BA1"/>
    <w:rsid w:val="00DA300C"/>
    <w:rsid w:val="00DA30B6"/>
    <w:rsid w:val="00DA332F"/>
    <w:rsid w:val="00DA3ABF"/>
    <w:rsid w:val="00DA41E8"/>
    <w:rsid w:val="00DA4DDF"/>
    <w:rsid w:val="00DA5B98"/>
    <w:rsid w:val="00DA72BC"/>
    <w:rsid w:val="00DB01F8"/>
    <w:rsid w:val="00DB0915"/>
    <w:rsid w:val="00DB158D"/>
    <w:rsid w:val="00DB2F52"/>
    <w:rsid w:val="00DB540A"/>
    <w:rsid w:val="00DB5A97"/>
    <w:rsid w:val="00DB6400"/>
    <w:rsid w:val="00DB6881"/>
    <w:rsid w:val="00DB6D9E"/>
    <w:rsid w:val="00DB7C72"/>
    <w:rsid w:val="00DC0042"/>
    <w:rsid w:val="00DC0C50"/>
    <w:rsid w:val="00DC2C6E"/>
    <w:rsid w:val="00DC45A5"/>
    <w:rsid w:val="00DC4CA9"/>
    <w:rsid w:val="00DC5955"/>
    <w:rsid w:val="00DC6F06"/>
    <w:rsid w:val="00DC7BFD"/>
    <w:rsid w:val="00DD1725"/>
    <w:rsid w:val="00DD1B88"/>
    <w:rsid w:val="00DD1EB5"/>
    <w:rsid w:val="00DD27D3"/>
    <w:rsid w:val="00DD4246"/>
    <w:rsid w:val="00DD6036"/>
    <w:rsid w:val="00DD7534"/>
    <w:rsid w:val="00DD794D"/>
    <w:rsid w:val="00DD7B31"/>
    <w:rsid w:val="00DE18F5"/>
    <w:rsid w:val="00DE2143"/>
    <w:rsid w:val="00DE235E"/>
    <w:rsid w:val="00DE37AD"/>
    <w:rsid w:val="00DE38C3"/>
    <w:rsid w:val="00DE3926"/>
    <w:rsid w:val="00DE3B84"/>
    <w:rsid w:val="00DE5386"/>
    <w:rsid w:val="00DE5ECE"/>
    <w:rsid w:val="00DE7174"/>
    <w:rsid w:val="00DF0008"/>
    <w:rsid w:val="00DF0279"/>
    <w:rsid w:val="00DF0522"/>
    <w:rsid w:val="00DF0930"/>
    <w:rsid w:val="00DF0CE4"/>
    <w:rsid w:val="00DF0F43"/>
    <w:rsid w:val="00DF3262"/>
    <w:rsid w:val="00DF36B3"/>
    <w:rsid w:val="00DF41F3"/>
    <w:rsid w:val="00DF5BC2"/>
    <w:rsid w:val="00DF70F2"/>
    <w:rsid w:val="00E00036"/>
    <w:rsid w:val="00E008A8"/>
    <w:rsid w:val="00E01FE7"/>
    <w:rsid w:val="00E05871"/>
    <w:rsid w:val="00E05B4D"/>
    <w:rsid w:val="00E05E94"/>
    <w:rsid w:val="00E06617"/>
    <w:rsid w:val="00E076C9"/>
    <w:rsid w:val="00E07825"/>
    <w:rsid w:val="00E07CA2"/>
    <w:rsid w:val="00E10C13"/>
    <w:rsid w:val="00E1462C"/>
    <w:rsid w:val="00E15235"/>
    <w:rsid w:val="00E1577B"/>
    <w:rsid w:val="00E163D0"/>
    <w:rsid w:val="00E16E0C"/>
    <w:rsid w:val="00E17295"/>
    <w:rsid w:val="00E17DEE"/>
    <w:rsid w:val="00E21E51"/>
    <w:rsid w:val="00E21FCC"/>
    <w:rsid w:val="00E2230B"/>
    <w:rsid w:val="00E224DD"/>
    <w:rsid w:val="00E22D33"/>
    <w:rsid w:val="00E236C7"/>
    <w:rsid w:val="00E2378C"/>
    <w:rsid w:val="00E25022"/>
    <w:rsid w:val="00E25E95"/>
    <w:rsid w:val="00E27969"/>
    <w:rsid w:val="00E3077F"/>
    <w:rsid w:val="00E31FC5"/>
    <w:rsid w:val="00E32040"/>
    <w:rsid w:val="00E32CF0"/>
    <w:rsid w:val="00E32D10"/>
    <w:rsid w:val="00E3428C"/>
    <w:rsid w:val="00E3437F"/>
    <w:rsid w:val="00E36BEB"/>
    <w:rsid w:val="00E36D92"/>
    <w:rsid w:val="00E36F52"/>
    <w:rsid w:val="00E3727F"/>
    <w:rsid w:val="00E37DDD"/>
    <w:rsid w:val="00E421DC"/>
    <w:rsid w:val="00E4223F"/>
    <w:rsid w:val="00E42304"/>
    <w:rsid w:val="00E424E7"/>
    <w:rsid w:val="00E4464A"/>
    <w:rsid w:val="00E44F94"/>
    <w:rsid w:val="00E4555C"/>
    <w:rsid w:val="00E466EF"/>
    <w:rsid w:val="00E4679C"/>
    <w:rsid w:val="00E46B7C"/>
    <w:rsid w:val="00E47BB3"/>
    <w:rsid w:val="00E52E83"/>
    <w:rsid w:val="00E54264"/>
    <w:rsid w:val="00E54AD5"/>
    <w:rsid w:val="00E55697"/>
    <w:rsid w:val="00E55B69"/>
    <w:rsid w:val="00E56333"/>
    <w:rsid w:val="00E56910"/>
    <w:rsid w:val="00E57A51"/>
    <w:rsid w:val="00E60757"/>
    <w:rsid w:val="00E609F4"/>
    <w:rsid w:val="00E61E6A"/>
    <w:rsid w:val="00E62180"/>
    <w:rsid w:val="00E6243D"/>
    <w:rsid w:val="00E62A1C"/>
    <w:rsid w:val="00E62E3F"/>
    <w:rsid w:val="00E6348C"/>
    <w:rsid w:val="00E664BA"/>
    <w:rsid w:val="00E66860"/>
    <w:rsid w:val="00E6741E"/>
    <w:rsid w:val="00E67971"/>
    <w:rsid w:val="00E708E1"/>
    <w:rsid w:val="00E70D20"/>
    <w:rsid w:val="00E71583"/>
    <w:rsid w:val="00E71848"/>
    <w:rsid w:val="00E72428"/>
    <w:rsid w:val="00E72928"/>
    <w:rsid w:val="00E731D7"/>
    <w:rsid w:val="00E73F7A"/>
    <w:rsid w:val="00E745EF"/>
    <w:rsid w:val="00E75C84"/>
    <w:rsid w:val="00E808B9"/>
    <w:rsid w:val="00E82601"/>
    <w:rsid w:val="00E8655F"/>
    <w:rsid w:val="00E86702"/>
    <w:rsid w:val="00E87F73"/>
    <w:rsid w:val="00E910C3"/>
    <w:rsid w:val="00E91294"/>
    <w:rsid w:val="00E91473"/>
    <w:rsid w:val="00E96693"/>
    <w:rsid w:val="00E96BE3"/>
    <w:rsid w:val="00E977CB"/>
    <w:rsid w:val="00EA3829"/>
    <w:rsid w:val="00EA38DA"/>
    <w:rsid w:val="00EA5AE1"/>
    <w:rsid w:val="00EA5ED9"/>
    <w:rsid w:val="00EA6329"/>
    <w:rsid w:val="00EA6577"/>
    <w:rsid w:val="00EA7383"/>
    <w:rsid w:val="00EA7A59"/>
    <w:rsid w:val="00EA7C59"/>
    <w:rsid w:val="00EB00B9"/>
    <w:rsid w:val="00EB1DC3"/>
    <w:rsid w:val="00EB2C12"/>
    <w:rsid w:val="00EB33B6"/>
    <w:rsid w:val="00EB39D5"/>
    <w:rsid w:val="00EB49F7"/>
    <w:rsid w:val="00EB4AD6"/>
    <w:rsid w:val="00EB5088"/>
    <w:rsid w:val="00EB63DA"/>
    <w:rsid w:val="00EB73FF"/>
    <w:rsid w:val="00EC09C1"/>
    <w:rsid w:val="00EC21ED"/>
    <w:rsid w:val="00EC2793"/>
    <w:rsid w:val="00EC534C"/>
    <w:rsid w:val="00EC6BA2"/>
    <w:rsid w:val="00EC7E22"/>
    <w:rsid w:val="00ED02A0"/>
    <w:rsid w:val="00ED0503"/>
    <w:rsid w:val="00ED1DC8"/>
    <w:rsid w:val="00ED3DC2"/>
    <w:rsid w:val="00ED550B"/>
    <w:rsid w:val="00ED674D"/>
    <w:rsid w:val="00EE0CD9"/>
    <w:rsid w:val="00EE0DE9"/>
    <w:rsid w:val="00EE1050"/>
    <w:rsid w:val="00EE27F5"/>
    <w:rsid w:val="00EE50B2"/>
    <w:rsid w:val="00EE525D"/>
    <w:rsid w:val="00EE69A3"/>
    <w:rsid w:val="00EE7541"/>
    <w:rsid w:val="00EE76B2"/>
    <w:rsid w:val="00EF0FDD"/>
    <w:rsid w:val="00EF13B6"/>
    <w:rsid w:val="00EF203B"/>
    <w:rsid w:val="00EF24F9"/>
    <w:rsid w:val="00EF2687"/>
    <w:rsid w:val="00EF28BE"/>
    <w:rsid w:val="00EF3A0D"/>
    <w:rsid w:val="00EF3CED"/>
    <w:rsid w:val="00EF4878"/>
    <w:rsid w:val="00EF5075"/>
    <w:rsid w:val="00EF51DF"/>
    <w:rsid w:val="00EF5327"/>
    <w:rsid w:val="00EF5642"/>
    <w:rsid w:val="00EF58E1"/>
    <w:rsid w:val="00EF5C24"/>
    <w:rsid w:val="00EF713A"/>
    <w:rsid w:val="00EF79AE"/>
    <w:rsid w:val="00EF7C0C"/>
    <w:rsid w:val="00F014CC"/>
    <w:rsid w:val="00F0156A"/>
    <w:rsid w:val="00F03F1A"/>
    <w:rsid w:val="00F047AD"/>
    <w:rsid w:val="00F04901"/>
    <w:rsid w:val="00F04E10"/>
    <w:rsid w:val="00F05235"/>
    <w:rsid w:val="00F06313"/>
    <w:rsid w:val="00F06C7E"/>
    <w:rsid w:val="00F0779E"/>
    <w:rsid w:val="00F07BA2"/>
    <w:rsid w:val="00F10E1D"/>
    <w:rsid w:val="00F11CBA"/>
    <w:rsid w:val="00F1223F"/>
    <w:rsid w:val="00F12263"/>
    <w:rsid w:val="00F128E5"/>
    <w:rsid w:val="00F13180"/>
    <w:rsid w:val="00F1526E"/>
    <w:rsid w:val="00F15752"/>
    <w:rsid w:val="00F171AA"/>
    <w:rsid w:val="00F20E42"/>
    <w:rsid w:val="00F21E60"/>
    <w:rsid w:val="00F227E9"/>
    <w:rsid w:val="00F22A1E"/>
    <w:rsid w:val="00F22F9A"/>
    <w:rsid w:val="00F2353D"/>
    <w:rsid w:val="00F23E95"/>
    <w:rsid w:val="00F2420E"/>
    <w:rsid w:val="00F24A8D"/>
    <w:rsid w:val="00F24FA1"/>
    <w:rsid w:val="00F259F5"/>
    <w:rsid w:val="00F26CCB"/>
    <w:rsid w:val="00F2728B"/>
    <w:rsid w:val="00F27672"/>
    <w:rsid w:val="00F311AC"/>
    <w:rsid w:val="00F316DE"/>
    <w:rsid w:val="00F31B67"/>
    <w:rsid w:val="00F32813"/>
    <w:rsid w:val="00F3283F"/>
    <w:rsid w:val="00F32E66"/>
    <w:rsid w:val="00F33051"/>
    <w:rsid w:val="00F34867"/>
    <w:rsid w:val="00F3529D"/>
    <w:rsid w:val="00F37197"/>
    <w:rsid w:val="00F373A8"/>
    <w:rsid w:val="00F440CE"/>
    <w:rsid w:val="00F44561"/>
    <w:rsid w:val="00F47541"/>
    <w:rsid w:val="00F50642"/>
    <w:rsid w:val="00F50AFA"/>
    <w:rsid w:val="00F50CA3"/>
    <w:rsid w:val="00F5176F"/>
    <w:rsid w:val="00F52874"/>
    <w:rsid w:val="00F53AA5"/>
    <w:rsid w:val="00F53AD1"/>
    <w:rsid w:val="00F54140"/>
    <w:rsid w:val="00F5433C"/>
    <w:rsid w:val="00F54A66"/>
    <w:rsid w:val="00F54A9B"/>
    <w:rsid w:val="00F556E3"/>
    <w:rsid w:val="00F60303"/>
    <w:rsid w:val="00F615C2"/>
    <w:rsid w:val="00F61765"/>
    <w:rsid w:val="00F61A33"/>
    <w:rsid w:val="00F62171"/>
    <w:rsid w:val="00F63988"/>
    <w:rsid w:val="00F640D4"/>
    <w:rsid w:val="00F6482A"/>
    <w:rsid w:val="00F65909"/>
    <w:rsid w:val="00F678EB"/>
    <w:rsid w:val="00F67AC8"/>
    <w:rsid w:val="00F70194"/>
    <w:rsid w:val="00F70B3C"/>
    <w:rsid w:val="00F71EB7"/>
    <w:rsid w:val="00F72521"/>
    <w:rsid w:val="00F72793"/>
    <w:rsid w:val="00F74D4E"/>
    <w:rsid w:val="00F75E49"/>
    <w:rsid w:val="00F821B3"/>
    <w:rsid w:val="00F822BA"/>
    <w:rsid w:val="00F87132"/>
    <w:rsid w:val="00F903B6"/>
    <w:rsid w:val="00F926C5"/>
    <w:rsid w:val="00F92D4C"/>
    <w:rsid w:val="00F9323E"/>
    <w:rsid w:val="00F96522"/>
    <w:rsid w:val="00F9719B"/>
    <w:rsid w:val="00F97623"/>
    <w:rsid w:val="00FA0E45"/>
    <w:rsid w:val="00FA207D"/>
    <w:rsid w:val="00FA2110"/>
    <w:rsid w:val="00FA2506"/>
    <w:rsid w:val="00FA2DD5"/>
    <w:rsid w:val="00FA344F"/>
    <w:rsid w:val="00FA44C0"/>
    <w:rsid w:val="00FA6124"/>
    <w:rsid w:val="00FA625D"/>
    <w:rsid w:val="00FA6C2F"/>
    <w:rsid w:val="00FB07D7"/>
    <w:rsid w:val="00FB0CE6"/>
    <w:rsid w:val="00FB5603"/>
    <w:rsid w:val="00FB5B4C"/>
    <w:rsid w:val="00FC127E"/>
    <w:rsid w:val="00FC1607"/>
    <w:rsid w:val="00FC1A59"/>
    <w:rsid w:val="00FC1B8A"/>
    <w:rsid w:val="00FC2DE5"/>
    <w:rsid w:val="00FC39BA"/>
    <w:rsid w:val="00FC4A5E"/>
    <w:rsid w:val="00FC5AB4"/>
    <w:rsid w:val="00FD0AC8"/>
    <w:rsid w:val="00FD1179"/>
    <w:rsid w:val="00FD2410"/>
    <w:rsid w:val="00FD3098"/>
    <w:rsid w:val="00FD3B27"/>
    <w:rsid w:val="00FD4357"/>
    <w:rsid w:val="00FD47CA"/>
    <w:rsid w:val="00FD6225"/>
    <w:rsid w:val="00FD6485"/>
    <w:rsid w:val="00FD6CEF"/>
    <w:rsid w:val="00FD7C49"/>
    <w:rsid w:val="00FE0976"/>
    <w:rsid w:val="00FE1E76"/>
    <w:rsid w:val="00FE2406"/>
    <w:rsid w:val="00FE386F"/>
    <w:rsid w:val="00FE3D12"/>
    <w:rsid w:val="00FE4AB0"/>
    <w:rsid w:val="00FE4F60"/>
    <w:rsid w:val="00FE59F0"/>
    <w:rsid w:val="00FE79E5"/>
    <w:rsid w:val="00FF1DBD"/>
    <w:rsid w:val="00FF1F59"/>
    <w:rsid w:val="00FF2372"/>
    <w:rsid w:val="00FF2E4E"/>
    <w:rsid w:val="00FF4434"/>
    <w:rsid w:val="00FF4D32"/>
    <w:rsid w:val="00FF515D"/>
    <w:rsid w:val="00FF6645"/>
    <w:rsid w:val="00FF6DBB"/>
    <w:rsid w:val="0269DAAD"/>
    <w:rsid w:val="0CCFFA3A"/>
    <w:rsid w:val="0FB232CA"/>
    <w:rsid w:val="1581863C"/>
    <w:rsid w:val="1B20B403"/>
    <w:rsid w:val="22047AA9"/>
    <w:rsid w:val="330448D1"/>
    <w:rsid w:val="49CB4697"/>
    <w:rsid w:val="4AE7DD9F"/>
    <w:rsid w:val="4BBB2227"/>
    <w:rsid w:val="51BCAA9E"/>
    <w:rsid w:val="56565ED8"/>
    <w:rsid w:val="66A14937"/>
    <w:rsid w:val="6928F5A2"/>
    <w:rsid w:val="6C601CC2"/>
    <w:rsid w:val="76DD0712"/>
    <w:rsid w:val="77CE9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FA3A"/>
  <w15:chartTrackingRefBased/>
  <w15:docId w15:val="{A338C6FA-6FCB-4C04-9DB7-DD2BC862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FC9"/>
    <w:rPr>
      <w:lang w:val="en-AU"/>
    </w:rPr>
  </w:style>
  <w:style w:type="paragraph" w:styleId="Heading1">
    <w:name w:val="heading 1"/>
    <w:basedOn w:val="Normal"/>
    <w:next w:val="Normal"/>
    <w:link w:val="Heading1Char"/>
    <w:uiPriority w:val="9"/>
    <w:qFormat/>
    <w:rsid w:val="009270B9"/>
    <w:pPr>
      <w:keepNext/>
      <w:keepLines/>
      <w:numPr>
        <w:numId w:val="1"/>
      </w:numPr>
      <w:pBdr>
        <w:bottom w:val="single" w:sz="4" w:space="1" w:color="auto"/>
      </w:pBdr>
      <w:spacing w:after="120"/>
      <w:outlineLvl w:val="0"/>
    </w:pPr>
    <w:rPr>
      <w:rFonts w:asciiTheme="majorHAnsi" w:eastAsiaTheme="majorEastAsia" w:hAnsiTheme="majorHAnsi" w:cstheme="majorBidi"/>
      <w:color w:val="2F5496" w:themeColor="accent1" w:themeShade="BF"/>
      <w:sz w:val="36"/>
      <w:szCs w:val="36"/>
    </w:rPr>
  </w:style>
  <w:style w:type="paragraph" w:styleId="Heading2">
    <w:name w:val="heading 2"/>
    <w:basedOn w:val="Normal"/>
    <w:next w:val="Normal"/>
    <w:link w:val="Heading2Char"/>
    <w:uiPriority w:val="9"/>
    <w:unhideWhenUsed/>
    <w:qFormat/>
    <w:rsid w:val="00ED674D"/>
    <w:pPr>
      <w:spacing w:before="120"/>
      <w:outlineLvl w:val="1"/>
    </w:pPr>
    <w:rPr>
      <w:b/>
      <w:bCs/>
      <w:sz w:val="28"/>
      <w:szCs w:val="28"/>
    </w:rPr>
  </w:style>
  <w:style w:type="paragraph" w:styleId="Heading3">
    <w:name w:val="heading 3"/>
    <w:basedOn w:val="Heading2"/>
    <w:next w:val="Normal"/>
    <w:link w:val="Heading3Char"/>
    <w:uiPriority w:val="9"/>
    <w:unhideWhenUsed/>
    <w:qFormat/>
    <w:rsid w:val="005033FB"/>
    <w:pPr>
      <w:numPr>
        <w:ilvl w:val="2"/>
      </w:numPr>
      <w:ind w:left="170" w:hanging="170"/>
      <w:outlineLvl w:val="2"/>
    </w:pPr>
    <w:rPr>
      <w:sz w:val="24"/>
      <w:szCs w:val="24"/>
    </w:rPr>
  </w:style>
  <w:style w:type="paragraph" w:styleId="Heading4">
    <w:name w:val="heading 4"/>
    <w:basedOn w:val="Normal"/>
    <w:next w:val="Normal"/>
    <w:link w:val="Heading4Char"/>
    <w:uiPriority w:val="9"/>
    <w:unhideWhenUsed/>
    <w:qFormat/>
    <w:rsid w:val="00E664BA"/>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664B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315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156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52DBE"/>
    <w:rPr>
      <w:sz w:val="16"/>
      <w:szCs w:val="16"/>
    </w:rPr>
  </w:style>
  <w:style w:type="paragraph" w:styleId="CommentText">
    <w:name w:val="annotation text"/>
    <w:basedOn w:val="Normal"/>
    <w:link w:val="CommentTextChar"/>
    <w:uiPriority w:val="99"/>
    <w:unhideWhenUsed/>
    <w:rsid w:val="00152DBE"/>
    <w:pPr>
      <w:spacing w:line="240" w:lineRule="auto"/>
    </w:pPr>
    <w:rPr>
      <w:sz w:val="20"/>
      <w:szCs w:val="20"/>
    </w:rPr>
  </w:style>
  <w:style w:type="character" w:customStyle="1" w:styleId="CommentTextChar">
    <w:name w:val="Comment Text Char"/>
    <w:basedOn w:val="DefaultParagraphFont"/>
    <w:link w:val="CommentText"/>
    <w:uiPriority w:val="99"/>
    <w:rsid w:val="00152DBE"/>
    <w:rPr>
      <w:sz w:val="20"/>
      <w:szCs w:val="20"/>
    </w:rPr>
  </w:style>
  <w:style w:type="paragraph" w:styleId="CommentSubject">
    <w:name w:val="annotation subject"/>
    <w:basedOn w:val="CommentText"/>
    <w:next w:val="CommentText"/>
    <w:link w:val="CommentSubjectChar"/>
    <w:uiPriority w:val="99"/>
    <w:semiHidden/>
    <w:unhideWhenUsed/>
    <w:rsid w:val="00152DBE"/>
    <w:rPr>
      <w:b/>
      <w:bCs/>
    </w:rPr>
  </w:style>
  <w:style w:type="character" w:customStyle="1" w:styleId="CommentSubjectChar">
    <w:name w:val="Comment Subject Char"/>
    <w:basedOn w:val="CommentTextChar"/>
    <w:link w:val="CommentSubject"/>
    <w:uiPriority w:val="99"/>
    <w:semiHidden/>
    <w:rsid w:val="00152DBE"/>
    <w:rPr>
      <w:b/>
      <w:bCs/>
      <w:sz w:val="20"/>
      <w:szCs w:val="20"/>
    </w:rPr>
  </w:style>
  <w:style w:type="character" w:customStyle="1" w:styleId="Heading1Char">
    <w:name w:val="Heading 1 Char"/>
    <w:basedOn w:val="DefaultParagraphFont"/>
    <w:link w:val="Heading1"/>
    <w:uiPriority w:val="9"/>
    <w:rsid w:val="009270B9"/>
    <w:rPr>
      <w:rFonts w:asciiTheme="majorHAnsi" w:eastAsiaTheme="majorEastAsia" w:hAnsiTheme="majorHAnsi" w:cstheme="majorBidi"/>
      <w:color w:val="2F5496" w:themeColor="accent1" w:themeShade="BF"/>
      <w:sz w:val="36"/>
      <w:szCs w:val="36"/>
      <w:lang w:val="en-AU"/>
    </w:rPr>
  </w:style>
  <w:style w:type="paragraph" w:styleId="TOCHeading">
    <w:name w:val="TOC Heading"/>
    <w:basedOn w:val="Heading1"/>
    <w:next w:val="Normal"/>
    <w:uiPriority w:val="39"/>
    <w:unhideWhenUsed/>
    <w:qFormat/>
    <w:rsid w:val="00901440"/>
    <w:pPr>
      <w:outlineLvl w:val="9"/>
    </w:pPr>
  </w:style>
  <w:style w:type="paragraph" w:styleId="ListParagraph">
    <w:name w:val="List Paragraph"/>
    <w:aliases w:val="Bullet Point List"/>
    <w:basedOn w:val="Normal"/>
    <w:link w:val="ListParagraphChar"/>
    <w:uiPriority w:val="34"/>
    <w:qFormat/>
    <w:rsid w:val="003A0C8D"/>
    <w:pPr>
      <w:numPr>
        <w:numId w:val="3"/>
      </w:numPr>
      <w:spacing w:before="60" w:after="60" w:line="240" w:lineRule="auto"/>
    </w:pPr>
    <w:rPr>
      <w:rFonts w:ascii="Calibri" w:hAnsi="Calibri" w:cs="Calibri"/>
    </w:rPr>
  </w:style>
  <w:style w:type="numbering" w:customStyle="1" w:styleId="Bulleted">
    <w:name w:val="Bulleted"/>
    <w:basedOn w:val="NoList"/>
    <w:rsid w:val="00526861"/>
    <w:pPr>
      <w:numPr>
        <w:numId w:val="2"/>
      </w:numPr>
    </w:pPr>
  </w:style>
  <w:style w:type="character" w:customStyle="1" w:styleId="ListParagraphChar">
    <w:name w:val="List Paragraph Char"/>
    <w:aliases w:val="Bullet Point List Char"/>
    <w:link w:val="ListParagraph"/>
    <w:uiPriority w:val="34"/>
    <w:rsid w:val="003A0C8D"/>
    <w:rPr>
      <w:rFonts w:ascii="Calibri" w:hAnsi="Calibri" w:cs="Calibri"/>
      <w:lang w:val="en-AU"/>
    </w:rPr>
  </w:style>
  <w:style w:type="paragraph" w:styleId="Header">
    <w:name w:val="header"/>
    <w:basedOn w:val="Normal"/>
    <w:link w:val="HeaderChar"/>
    <w:uiPriority w:val="99"/>
    <w:unhideWhenUsed/>
    <w:rsid w:val="007F7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6F2"/>
    <w:rPr>
      <w:lang w:val="en-AU"/>
    </w:rPr>
  </w:style>
  <w:style w:type="paragraph" w:styleId="Footer">
    <w:name w:val="footer"/>
    <w:basedOn w:val="Normal"/>
    <w:link w:val="FooterChar"/>
    <w:uiPriority w:val="99"/>
    <w:unhideWhenUsed/>
    <w:rsid w:val="007F7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6F2"/>
    <w:rPr>
      <w:lang w:val="en-AU"/>
    </w:rPr>
  </w:style>
  <w:style w:type="character" w:customStyle="1" w:styleId="Heading2Char">
    <w:name w:val="Heading 2 Char"/>
    <w:basedOn w:val="DefaultParagraphFont"/>
    <w:link w:val="Heading2"/>
    <w:uiPriority w:val="9"/>
    <w:rsid w:val="00ED674D"/>
    <w:rPr>
      <w:b/>
      <w:bCs/>
      <w:sz w:val="28"/>
      <w:szCs w:val="28"/>
      <w:lang w:val="en-AU"/>
    </w:rPr>
  </w:style>
  <w:style w:type="character" w:styleId="Hyperlink">
    <w:name w:val="Hyperlink"/>
    <w:basedOn w:val="DefaultParagraphFont"/>
    <w:uiPriority w:val="99"/>
    <w:unhideWhenUsed/>
    <w:rsid w:val="007416B4"/>
    <w:rPr>
      <w:color w:val="0563C1" w:themeColor="hyperlink"/>
      <w:u w:val="single"/>
    </w:rPr>
  </w:style>
  <w:style w:type="character" w:styleId="FollowedHyperlink">
    <w:name w:val="FollowedHyperlink"/>
    <w:basedOn w:val="DefaultParagraphFont"/>
    <w:uiPriority w:val="99"/>
    <w:semiHidden/>
    <w:unhideWhenUsed/>
    <w:rsid w:val="009F61C6"/>
    <w:rPr>
      <w:color w:val="954F72" w:themeColor="followedHyperlink"/>
      <w:u w:val="single"/>
    </w:rPr>
  </w:style>
  <w:style w:type="character" w:styleId="UnresolvedMention">
    <w:name w:val="Unresolved Mention"/>
    <w:basedOn w:val="DefaultParagraphFont"/>
    <w:uiPriority w:val="99"/>
    <w:unhideWhenUsed/>
    <w:rsid w:val="00E17DEE"/>
    <w:rPr>
      <w:color w:val="605E5C"/>
      <w:shd w:val="clear" w:color="auto" w:fill="E1DFDD"/>
    </w:rPr>
  </w:style>
  <w:style w:type="paragraph" w:styleId="TOC1">
    <w:name w:val="toc 1"/>
    <w:basedOn w:val="Normal"/>
    <w:next w:val="Normal"/>
    <w:autoRedefine/>
    <w:uiPriority w:val="39"/>
    <w:unhideWhenUsed/>
    <w:rsid w:val="009C4251"/>
    <w:pPr>
      <w:spacing w:after="100"/>
    </w:pPr>
  </w:style>
  <w:style w:type="paragraph" w:styleId="TOC2">
    <w:name w:val="toc 2"/>
    <w:basedOn w:val="Normal"/>
    <w:next w:val="Normal"/>
    <w:autoRedefine/>
    <w:uiPriority w:val="39"/>
    <w:unhideWhenUsed/>
    <w:rsid w:val="009C4251"/>
    <w:pPr>
      <w:spacing w:after="100"/>
      <w:ind w:left="220"/>
    </w:pPr>
  </w:style>
  <w:style w:type="table" w:styleId="TableGrid">
    <w:name w:val="Table Grid"/>
    <w:basedOn w:val="TableNormal"/>
    <w:rsid w:val="00361D7B"/>
    <w:pPr>
      <w:numPr>
        <w:numId w:val="12"/>
      </w:num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731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rsid w:val="005033FB"/>
    <w:rPr>
      <w:b/>
      <w:bCs/>
      <w:sz w:val="24"/>
      <w:szCs w:val="24"/>
      <w:lang w:val="en-AU"/>
    </w:rPr>
  </w:style>
  <w:style w:type="paragraph" w:styleId="TOC3">
    <w:name w:val="toc 3"/>
    <w:basedOn w:val="Normal"/>
    <w:next w:val="Normal"/>
    <w:autoRedefine/>
    <w:uiPriority w:val="39"/>
    <w:unhideWhenUsed/>
    <w:rsid w:val="0092314C"/>
    <w:pPr>
      <w:spacing w:after="100"/>
      <w:ind w:left="440"/>
    </w:pPr>
  </w:style>
  <w:style w:type="character" w:styleId="Strong">
    <w:name w:val="Strong"/>
    <w:basedOn w:val="DefaultParagraphFont"/>
    <w:uiPriority w:val="22"/>
    <w:qFormat/>
    <w:rsid w:val="005B7237"/>
    <w:rPr>
      <w:b/>
      <w:bCs/>
    </w:rPr>
  </w:style>
  <w:style w:type="character" w:styleId="Emphasis">
    <w:name w:val="Emphasis"/>
    <w:basedOn w:val="DefaultParagraphFont"/>
    <w:uiPriority w:val="20"/>
    <w:qFormat/>
    <w:rsid w:val="00905A7F"/>
    <w:rPr>
      <w:b/>
      <w:bCs/>
      <w:i/>
      <w:iCs/>
    </w:rPr>
  </w:style>
  <w:style w:type="table" w:customStyle="1" w:styleId="DPCTable1">
    <w:name w:val="DPC Table 1"/>
    <w:basedOn w:val="TableNormal"/>
    <w:uiPriority w:val="99"/>
    <w:rsid w:val="00B12841"/>
    <w:pPr>
      <w:spacing w:before="80" w:after="80" w:line="240" w:lineRule="auto"/>
    </w:pPr>
    <w:rPr>
      <w:rFonts w:ascii="Arial" w:eastAsiaTheme="minorEastAsia" w:hAnsi="Arial"/>
      <w:lang w:val="en-AU"/>
    </w:rPr>
    <w:tblPr>
      <w:tblBorders>
        <w:top w:val="single" w:sz="8" w:space="0" w:color="BFBFBF" w:themeColor="background1" w:themeShade="BF"/>
        <w:bottom w:val="single" w:sz="8" w:space="0" w:color="auto"/>
        <w:insideH w:val="single" w:sz="4" w:space="0" w:color="BFBFBF" w:themeColor="background1" w:themeShade="BF"/>
      </w:tblBorders>
    </w:tblPr>
    <w:tblStylePr w:type="firstRow">
      <w:rPr>
        <w:rFonts w:ascii="Arial" w:hAnsi="Arial"/>
        <w:b/>
        <w:sz w:val="22"/>
      </w:rPr>
      <w:tblPr/>
      <w:tcPr>
        <w:tcBorders>
          <w:top w:val="single" w:sz="12" w:space="0" w:color="auto"/>
          <w:left w:val="nil"/>
          <w:bottom w:val="nil"/>
          <w:right w:val="nil"/>
          <w:insideH w:val="nil"/>
          <w:insideV w:val="nil"/>
        </w:tcBorders>
      </w:tcPr>
    </w:tblStylePr>
  </w:style>
  <w:style w:type="character" w:customStyle="1" w:styleId="Heading4Char">
    <w:name w:val="Heading 4 Char"/>
    <w:basedOn w:val="DefaultParagraphFont"/>
    <w:link w:val="Heading4"/>
    <w:uiPriority w:val="9"/>
    <w:rsid w:val="00E664BA"/>
    <w:rPr>
      <w:rFonts w:asciiTheme="majorHAnsi" w:eastAsiaTheme="majorEastAsia" w:hAnsiTheme="majorHAnsi" w:cstheme="majorBidi"/>
      <w:i/>
      <w:iCs/>
      <w:color w:val="2F5496" w:themeColor="accent1" w:themeShade="BF"/>
      <w:lang w:val="en-AU"/>
    </w:rPr>
  </w:style>
  <w:style w:type="character" w:customStyle="1" w:styleId="Heading5Char">
    <w:name w:val="Heading 5 Char"/>
    <w:basedOn w:val="DefaultParagraphFont"/>
    <w:link w:val="Heading5"/>
    <w:uiPriority w:val="9"/>
    <w:rsid w:val="00E664BA"/>
    <w:rPr>
      <w:rFonts w:asciiTheme="majorHAnsi" w:eastAsiaTheme="majorEastAsia" w:hAnsiTheme="majorHAnsi" w:cstheme="majorBidi"/>
      <w:color w:val="2F5496" w:themeColor="accent1" w:themeShade="BF"/>
      <w:lang w:val="en-AU"/>
    </w:rPr>
  </w:style>
  <w:style w:type="paragraph" w:styleId="BodyText">
    <w:name w:val="Body Text"/>
    <w:basedOn w:val="Normal"/>
    <w:link w:val="BodyTextChar"/>
    <w:uiPriority w:val="1"/>
    <w:qFormat/>
    <w:rsid w:val="00E664BA"/>
    <w:pPr>
      <w:spacing w:before="120" w:after="0" w:line="240" w:lineRule="auto"/>
    </w:pPr>
    <w:rPr>
      <w:rFonts w:cstheme="minorHAnsi"/>
    </w:rPr>
  </w:style>
  <w:style w:type="character" w:customStyle="1" w:styleId="BodyTextChar">
    <w:name w:val="Body Text Char"/>
    <w:basedOn w:val="DefaultParagraphFont"/>
    <w:link w:val="BodyText"/>
    <w:uiPriority w:val="1"/>
    <w:rsid w:val="00E664BA"/>
    <w:rPr>
      <w:rFonts w:cstheme="minorHAnsi"/>
      <w:lang w:val="en-AU"/>
    </w:rPr>
  </w:style>
  <w:style w:type="character" w:styleId="Mention">
    <w:name w:val="Mention"/>
    <w:basedOn w:val="DefaultParagraphFont"/>
    <w:uiPriority w:val="99"/>
    <w:unhideWhenUsed/>
    <w:rsid w:val="00E664BA"/>
    <w:rPr>
      <w:color w:val="2B579A"/>
      <w:shd w:val="clear" w:color="auto" w:fill="E1DFDD"/>
    </w:rPr>
  </w:style>
  <w:style w:type="table" w:customStyle="1" w:styleId="CyberCX-Table-RegularDense">
    <w:name w:val="CyberCX - Table - Regular (Dense)"/>
    <w:basedOn w:val="TableNormal"/>
    <w:uiPriority w:val="99"/>
    <w:rsid w:val="00876C62"/>
    <w:pPr>
      <w:spacing w:after="0" w:line="264" w:lineRule="auto"/>
    </w:pPr>
    <w:rPr>
      <w:rFonts w:eastAsia="MS Mincho"/>
      <w:color w:val="44546A" w:themeColor="text2"/>
      <w:lang w:val="en-A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shd w:val="clear" w:color="auto" w:fill="auto"/>
    </w:tcPr>
    <w:tblStylePr w:type="firstRow">
      <w:pPr>
        <w:wordWrap/>
        <w:spacing w:beforeLines="0" w:before="0" w:beforeAutospacing="0" w:afterLines="0" w:after="0" w:afterAutospacing="0"/>
      </w:pPr>
      <w:rPr>
        <w:rFonts w:asciiTheme="majorHAnsi" w:hAnsiTheme="majorHAnsi"/>
        <w:b w:val="0"/>
        <w:color w:val="FFFFFF" w:themeColor="background1"/>
      </w:rPr>
      <w:tblPr/>
      <w:trPr>
        <w:tblHeader/>
      </w:trPr>
      <w:tcPr>
        <w:tcBorders>
          <w:top w:val="single" w:sz="2" w:space="0" w:color="auto"/>
          <w:left w:val="single" w:sz="2" w:space="0" w:color="auto"/>
          <w:bottom w:val="single" w:sz="2" w:space="0" w:color="auto"/>
          <w:right w:val="single" w:sz="2" w:space="0" w:color="auto"/>
          <w:insideH w:val="nil"/>
          <w:insideV w:val="single" w:sz="2" w:space="0" w:color="3B3838" w:themeColor="background2" w:themeShade="40"/>
          <w:tl2br w:val="nil"/>
          <w:tr2bl w:val="nil"/>
        </w:tcBorders>
        <w:shd w:val="clear" w:color="auto" w:fill="ED7D31" w:themeFill="accent2"/>
      </w:tcPr>
    </w:tblStylePr>
    <w:tblStylePr w:type="lastRow">
      <w:rPr>
        <w:rFonts w:asciiTheme="majorHAnsi" w:hAnsiTheme="majorHAnsi"/>
      </w:rPr>
      <w:tblPr/>
      <w:tcPr>
        <w:tcBorders>
          <w:top w:val="single" w:sz="12" w:space="0" w:color="auto"/>
          <w:left w:val="single" w:sz="2" w:space="0" w:color="auto"/>
          <w:bottom w:val="single" w:sz="2" w:space="0" w:color="auto"/>
          <w:right w:val="single" w:sz="2" w:space="0" w:color="auto"/>
          <w:insideH w:val="nil"/>
          <w:insideV w:val="nil"/>
          <w:tl2br w:val="nil"/>
          <w:tr2bl w:val="nil"/>
        </w:tcBorders>
        <w:shd w:val="clear" w:color="auto" w:fill="auto"/>
      </w:tcPr>
    </w:tblStylePr>
    <w:tblStylePr w:type="firstCol">
      <w:pPr>
        <w:wordWrap/>
        <w:spacing w:afterLines="0"/>
        <w:jc w:val="left"/>
      </w:pPr>
      <w:rPr>
        <w:rFonts w:asciiTheme="majorHAnsi" w:hAnsiTheme="majorHAnsi"/>
        <w:color w:val="FFFFFF" w:themeColor="background1"/>
      </w:rPr>
      <w:tblPr/>
      <w:tcPr>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insideH w:val="single" w:sz="4" w:space="0" w:color="3B3838" w:themeColor="background2" w:themeShade="40"/>
          <w:insideV w:val="nil"/>
          <w:tl2br w:val="nil"/>
          <w:tr2bl w:val="nil"/>
        </w:tcBorders>
        <w:shd w:val="clear" w:color="auto" w:fill="ED7D31" w:themeFill="accent2"/>
        <w:vAlign w:val="top"/>
      </w:tcPr>
    </w:tblStylePr>
    <w:tblStylePr w:type="lastCol">
      <w:tblPr/>
      <w:tcPr>
        <w:tcBorders>
          <w:top w:val="single" w:sz="2" w:space="0" w:color="auto"/>
          <w:left w:val="single" w:sz="12" w:space="0" w:color="auto"/>
          <w:bottom w:val="single" w:sz="2" w:space="0" w:color="auto"/>
          <w:right w:val="single" w:sz="2" w:space="0" w:color="auto"/>
          <w:insideH w:val="single" w:sz="2" w:space="0" w:color="auto"/>
          <w:insideV w:val="nil"/>
          <w:tl2br w:val="nil"/>
          <w:tr2bl w:val="nil"/>
        </w:tcBorders>
        <w:shd w:val="clear" w:color="auto" w:fill="auto"/>
      </w:tcPr>
    </w:tblStylePr>
    <w:tblStylePr w:type="band2Vert">
      <w:tblPr/>
      <w:tcPr>
        <w:shd w:val="clear" w:color="auto" w:fill="F0F0F0"/>
      </w:tcPr>
    </w:tblStylePr>
    <w:tblStylePr w:type="band2Horz">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0F0F0"/>
      </w:tcPr>
    </w:tblStylePr>
    <w:tblStylePr w:type="swCell">
      <w:rPr>
        <w:color w:val="44546A" w:themeColor="text2"/>
      </w:rPr>
    </w:tblStylePr>
  </w:style>
  <w:style w:type="paragraph" w:customStyle="1" w:styleId="Table-BulletsBullets">
    <w:name w:val="Table - Bullets (Bullets)"/>
    <w:basedOn w:val="ListParagraph"/>
    <w:uiPriority w:val="13"/>
    <w:qFormat/>
    <w:rsid w:val="00876C62"/>
    <w:pPr>
      <w:numPr>
        <w:numId w:val="5"/>
      </w:numPr>
      <w:spacing w:before="0" w:after="160" w:line="264" w:lineRule="auto"/>
      <w:contextualSpacing/>
    </w:pPr>
    <w:rPr>
      <w:rFonts w:asciiTheme="minorHAnsi" w:eastAsia="MS Mincho" w:hAnsiTheme="minorHAnsi" w:cstheme="minorBidi"/>
      <w:color w:val="44546A" w:themeColor="text2"/>
    </w:rPr>
  </w:style>
  <w:style w:type="paragraph" w:customStyle="1" w:styleId="TableText">
    <w:name w:val="Table Text"/>
    <w:basedOn w:val="BodyText"/>
    <w:qFormat/>
    <w:rsid w:val="00876C62"/>
    <w:pPr>
      <w:spacing w:before="60"/>
    </w:pPr>
  </w:style>
  <w:style w:type="character" w:customStyle="1" w:styleId="markedcontent">
    <w:name w:val="markedcontent"/>
    <w:basedOn w:val="DefaultParagraphFont"/>
    <w:rsid w:val="00876C62"/>
  </w:style>
  <w:style w:type="character" w:styleId="SubtleEmphasis">
    <w:name w:val="Subtle Emphasis"/>
    <w:basedOn w:val="DefaultParagraphFont"/>
    <w:uiPriority w:val="19"/>
    <w:qFormat/>
    <w:rsid w:val="00441918"/>
    <w:rPr>
      <w:i/>
      <w:iCs/>
      <w:color w:val="404040" w:themeColor="text1" w:themeTint="BF"/>
    </w:rPr>
  </w:style>
  <w:style w:type="paragraph" w:customStyle="1" w:styleId="TableHeading">
    <w:name w:val="Table Heading"/>
    <w:qFormat/>
    <w:rsid w:val="007B3E3E"/>
    <w:pPr>
      <w:keepNext/>
      <w:spacing w:before="80" w:after="80" w:line="240" w:lineRule="auto"/>
    </w:pPr>
    <w:rPr>
      <w:rFonts w:eastAsia="Times New Roman" w:cstheme="minorHAnsi"/>
      <w:b/>
      <w:color w:val="FFFFFF"/>
      <w:sz w:val="24"/>
      <w:szCs w:val="24"/>
      <w:lang w:val="en-AU"/>
    </w:rPr>
  </w:style>
  <w:style w:type="character" w:customStyle="1" w:styleId="eop">
    <w:name w:val="eop"/>
    <w:basedOn w:val="DefaultParagraphFont"/>
    <w:rsid w:val="007B3E3E"/>
  </w:style>
  <w:style w:type="paragraph" w:customStyle="1" w:styleId="paragraph">
    <w:name w:val="paragraph"/>
    <w:basedOn w:val="Normal"/>
    <w:rsid w:val="002341F8"/>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150">
      <w:bodyDiv w:val="1"/>
      <w:marLeft w:val="0"/>
      <w:marRight w:val="0"/>
      <w:marTop w:val="0"/>
      <w:marBottom w:val="0"/>
      <w:divBdr>
        <w:top w:val="none" w:sz="0" w:space="0" w:color="auto"/>
        <w:left w:val="none" w:sz="0" w:space="0" w:color="auto"/>
        <w:bottom w:val="none" w:sz="0" w:space="0" w:color="auto"/>
        <w:right w:val="none" w:sz="0" w:space="0" w:color="auto"/>
      </w:divBdr>
      <w:divsChild>
        <w:div w:id="23871582">
          <w:marLeft w:val="274"/>
          <w:marRight w:val="0"/>
          <w:marTop w:val="0"/>
          <w:marBottom w:val="0"/>
          <w:divBdr>
            <w:top w:val="none" w:sz="0" w:space="0" w:color="auto"/>
            <w:left w:val="none" w:sz="0" w:space="0" w:color="auto"/>
            <w:bottom w:val="none" w:sz="0" w:space="0" w:color="auto"/>
            <w:right w:val="none" w:sz="0" w:space="0" w:color="auto"/>
          </w:divBdr>
        </w:div>
        <w:div w:id="143858324">
          <w:marLeft w:val="274"/>
          <w:marRight w:val="0"/>
          <w:marTop w:val="0"/>
          <w:marBottom w:val="0"/>
          <w:divBdr>
            <w:top w:val="none" w:sz="0" w:space="0" w:color="auto"/>
            <w:left w:val="none" w:sz="0" w:space="0" w:color="auto"/>
            <w:bottom w:val="none" w:sz="0" w:space="0" w:color="auto"/>
            <w:right w:val="none" w:sz="0" w:space="0" w:color="auto"/>
          </w:divBdr>
        </w:div>
        <w:div w:id="509805301">
          <w:marLeft w:val="274"/>
          <w:marRight w:val="0"/>
          <w:marTop w:val="0"/>
          <w:marBottom w:val="0"/>
          <w:divBdr>
            <w:top w:val="none" w:sz="0" w:space="0" w:color="auto"/>
            <w:left w:val="none" w:sz="0" w:space="0" w:color="auto"/>
            <w:bottom w:val="none" w:sz="0" w:space="0" w:color="auto"/>
            <w:right w:val="none" w:sz="0" w:space="0" w:color="auto"/>
          </w:divBdr>
        </w:div>
        <w:div w:id="1185241276">
          <w:marLeft w:val="274"/>
          <w:marRight w:val="0"/>
          <w:marTop w:val="0"/>
          <w:marBottom w:val="0"/>
          <w:divBdr>
            <w:top w:val="none" w:sz="0" w:space="0" w:color="auto"/>
            <w:left w:val="none" w:sz="0" w:space="0" w:color="auto"/>
            <w:bottom w:val="none" w:sz="0" w:space="0" w:color="auto"/>
            <w:right w:val="none" w:sz="0" w:space="0" w:color="auto"/>
          </w:divBdr>
        </w:div>
        <w:div w:id="1926498374">
          <w:marLeft w:val="274"/>
          <w:marRight w:val="0"/>
          <w:marTop w:val="0"/>
          <w:marBottom w:val="0"/>
          <w:divBdr>
            <w:top w:val="none" w:sz="0" w:space="0" w:color="auto"/>
            <w:left w:val="none" w:sz="0" w:space="0" w:color="auto"/>
            <w:bottom w:val="none" w:sz="0" w:space="0" w:color="auto"/>
            <w:right w:val="none" w:sz="0" w:space="0" w:color="auto"/>
          </w:divBdr>
        </w:div>
      </w:divsChild>
    </w:div>
    <w:div w:id="28459645">
      <w:bodyDiv w:val="1"/>
      <w:marLeft w:val="0"/>
      <w:marRight w:val="0"/>
      <w:marTop w:val="0"/>
      <w:marBottom w:val="0"/>
      <w:divBdr>
        <w:top w:val="none" w:sz="0" w:space="0" w:color="auto"/>
        <w:left w:val="none" w:sz="0" w:space="0" w:color="auto"/>
        <w:bottom w:val="none" w:sz="0" w:space="0" w:color="auto"/>
        <w:right w:val="none" w:sz="0" w:space="0" w:color="auto"/>
      </w:divBdr>
    </w:div>
    <w:div w:id="45184977">
      <w:bodyDiv w:val="1"/>
      <w:marLeft w:val="0"/>
      <w:marRight w:val="0"/>
      <w:marTop w:val="0"/>
      <w:marBottom w:val="0"/>
      <w:divBdr>
        <w:top w:val="none" w:sz="0" w:space="0" w:color="auto"/>
        <w:left w:val="none" w:sz="0" w:space="0" w:color="auto"/>
        <w:bottom w:val="none" w:sz="0" w:space="0" w:color="auto"/>
        <w:right w:val="none" w:sz="0" w:space="0" w:color="auto"/>
      </w:divBdr>
    </w:div>
    <w:div w:id="130831564">
      <w:bodyDiv w:val="1"/>
      <w:marLeft w:val="0"/>
      <w:marRight w:val="0"/>
      <w:marTop w:val="0"/>
      <w:marBottom w:val="0"/>
      <w:divBdr>
        <w:top w:val="none" w:sz="0" w:space="0" w:color="auto"/>
        <w:left w:val="none" w:sz="0" w:space="0" w:color="auto"/>
        <w:bottom w:val="none" w:sz="0" w:space="0" w:color="auto"/>
        <w:right w:val="none" w:sz="0" w:space="0" w:color="auto"/>
      </w:divBdr>
    </w:div>
    <w:div w:id="190799355">
      <w:bodyDiv w:val="1"/>
      <w:marLeft w:val="0"/>
      <w:marRight w:val="0"/>
      <w:marTop w:val="0"/>
      <w:marBottom w:val="0"/>
      <w:divBdr>
        <w:top w:val="none" w:sz="0" w:space="0" w:color="auto"/>
        <w:left w:val="none" w:sz="0" w:space="0" w:color="auto"/>
        <w:bottom w:val="none" w:sz="0" w:space="0" w:color="auto"/>
        <w:right w:val="none" w:sz="0" w:space="0" w:color="auto"/>
      </w:divBdr>
    </w:div>
    <w:div w:id="195002212">
      <w:bodyDiv w:val="1"/>
      <w:marLeft w:val="0"/>
      <w:marRight w:val="0"/>
      <w:marTop w:val="0"/>
      <w:marBottom w:val="0"/>
      <w:divBdr>
        <w:top w:val="none" w:sz="0" w:space="0" w:color="auto"/>
        <w:left w:val="none" w:sz="0" w:space="0" w:color="auto"/>
        <w:bottom w:val="none" w:sz="0" w:space="0" w:color="auto"/>
        <w:right w:val="none" w:sz="0" w:space="0" w:color="auto"/>
      </w:divBdr>
      <w:divsChild>
        <w:div w:id="137261820">
          <w:marLeft w:val="274"/>
          <w:marRight w:val="0"/>
          <w:marTop w:val="0"/>
          <w:marBottom w:val="0"/>
          <w:divBdr>
            <w:top w:val="none" w:sz="0" w:space="0" w:color="auto"/>
            <w:left w:val="none" w:sz="0" w:space="0" w:color="auto"/>
            <w:bottom w:val="none" w:sz="0" w:space="0" w:color="auto"/>
            <w:right w:val="none" w:sz="0" w:space="0" w:color="auto"/>
          </w:divBdr>
        </w:div>
        <w:div w:id="324631367">
          <w:marLeft w:val="274"/>
          <w:marRight w:val="0"/>
          <w:marTop w:val="0"/>
          <w:marBottom w:val="0"/>
          <w:divBdr>
            <w:top w:val="none" w:sz="0" w:space="0" w:color="auto"/>
            <w:left w:val="none" w:sz="0" w:space="0" w:color="auto"/>
            <w:bottom w:val="none" w:sz="0" w:space="0" w:color="auto"/>
            <w:right w:val="none" w:sz="0" w:space="0" w:color="auto"/>
          </w:divBdr>
        </w:div>
        <w:div w:id="463887834">
          <w:marLeft w:val="274"/>
          <w:marRight w:val="0"/>
          <w:marTop w:val="0"/>
          <w:marBottom w:val="0"/>
          <w:divBdr>
            <w:top w:val="none" w:sz="0" w:space="0" w:color="auto"/>
            <w:left w:val="none" w:sz="0" w:space="0" w:color="auto"/>
            <w:bottom w:val="none" w:sz="0" w:space="0" w:color="auto"/>
            <w:right w:val="none" w:sz="0" w:space="0" w:color="auto"/>
          </w:divBdr>
        </w:div>
        <w:div w:id="1002006030">
          <w:marLeft w:val="274"/>
          <w:marRight w:val="0"/>
          <w:marTop w:val="0"/>
          <w:marBottom w:val="0"/>
          <w:divBdr>
            <w:top w:val="none" w:sz="0" w:space="0" w:color="auto"/>
            <w:left w:val="none" w:sz="0" w:space="0" w:color="auto"/>
            <w:bottom w:val="none" w:sz="0" w:space="0" w:color="auto"/>
            <w:right w:val="none" w:sz="0" w:space="0" w:color="auto"/>
          </w:divBdr>
        </w:div>
        <w:div w:id="1966307653">
          <w:marLeft w:val="274"/>
          <w:marRight w:val="0"/>
          <w:marTop w:val="0"/>
          <w:marBottom w:val="0"/>
          <w:divBdr>
            <w:top w:val="none" w:sz="0" w:space="0" w:color="auto"/>
            <w:left w:val="none" w:sz="0" w:space="0" w:color="auto"/>
            <w:bottom w:val="none" w:sz="0" w:space="0" w:color="auto"/>
            <w:right w:val="none" w:sz="0" w:space="0" w:color="auto"/>
          </w:divBdr>
        </w:div>
      </w:divsChild>
    </w:div>
    <w:div w:id="240063580">
      <w:bodyDiv w:val="1"/>
      <w:marLeft w:val="0"/>
      <w:marRight w:val="0"/>
      <w:marTop w:val="0"/>
      <w:marBottom w:val="0"/>
      <w:divBdr>
        <w:top w:val="none" w:sz="0" w:space="0" w:color="auto"/>
        <w:left w:val="none" w:sz="0" w:space="0" w:color="auto"/>
        <w:bottom w:val="none" w:sz="0" w:space="0" w:color="auto"/>
        <w:right w:val="none" w:sz="0" w:space="0" w:color="auto"/>
      </w:divBdr>
    </w:div>
    <w:div w:id="258759873">
      <w:bodyDiv w:val="1"/>
      <w:marLeft w:val="0"/>
      <w:marRight w:val="0"/>
      <w:marTop w:val="0"/>
      <w:marBottom w:val="0"/>
      <w:divBdr>
        <w:top w:val="none" w:sz="0" w:space="0" w:color="auto"/>
        <w:left w:val="none" w:sz="0" w:space="0" w:color="auto"/>
        <w:bottom w:val="none" w:sz="0" w:space="0" w:color="auto"/>
        <w:right w:val="none" w:sz="0" w:space="0" w:color="auto"/>
      </w:divBdr>
    </w:div>
    <w:div w:id="353388360">
      <w:bodyDiv w:val="1"/>
      <w:marLeft w:val="0"/>
      <w:marRight w:val="0"/>
      <w:marTop w:val="0"/>
      <w:marBottom w:val="0"/>
      <w:divBdr>
        <w:top w:val="none" w:sz="0" w:space="0" w:color="auto"/>
        <w:left w:val="none" w:sz="0" w:space="0" w:color="auto"/>
        <w:bottom w:val="none" w:sz="0" w:space="0" w:color="auto"/>
        <w:right w:val="none" w:sz="0" w:space="0" w:color="auto"/>
      </w:divBdr>
    </w:div>
    <w:div w:id="386035631">
      <w:bodyDiv w:val="1"/>
      <w:marLeft w:val="0"/>
      <w:marRight w:val="0"/>
      <w:marTop w:val="0"/>
      <w:marBottom w:val="0"/>
      <w:divBdr>
        <w:top w:val="none" w:sz="0" w:space="0" w:color="auto"/>
        <w:left w:val="none" w:sz="0" w:space="0" w:color="auto"/>
        <w:bottom w:val="none" w:sz="0" w:space="0" w:color="auto"/>
        <w:right w:val="none" w:sz="0" w:space="0" w:color="auto"/>
      </w:divBdr>
      <w:divsChild>
        <w:div w:id="467475868">
          <w:marLeft w:val="274"/>
          <w:marRight w:val="0"/>
          <w:marTop w:val="0"/>
          <w:marBottom w:val="0"/>
          <w:divBdr>
            <w:top w:val="none" w:sz="0" w:space="0" w:color="auto"/>
            <w:left w:val="none" w:sz="0" w:space="0" w:color="auto"/>
            <w:bottom w:val="none" w:sz="0" w:space="0" w:color="auto"/>
            <w:right w:val="none" w:sz="0" w:space="0" w:color="auto"/>
          </w:divBdr>
        </w:div>
        <w:div w:id="737944223">
          <w:marLeft w:val="274"/>
          <w:marRight w:val="0"/>
          <w:marTop w:val="0"/>
          <w:marBottom w:val="0"/>
          <w:divBdr>
            <w:top w:val="none" w:sz="0" w:space="0" w:color="auto"/>
            <w:left w:val="none" w:sz="0" w:space="0" w:color="auto"/>
            <w:bottom w:val="none" w:sz="0" w:space="0" w:color="auto"/>
            <w:right w:val="none" w:sz="0" w:space="0" w:color="auto"/>
          </w:divBdr>
        </w:div>
        <w:div w:id="1047098606">
          <w:marLeft w:val="274"/>
          <w:marRight w:val="0"/>
          <w:marTop w:val="0"/>
          <w:marBottom w:val="0"/>
          <w:divBdr>
            <w:top w:val="none" w:sz="0" w:space="0" w:color="auto"/>
            <w:left w:val="none" w:sz="0" w:space="0" w:color="auto"/>
            <w:bottom w:val="none" w:sz="0" w:space="0" w:color="auto"/>
            <w:right w:val="none" w:sz="0" w:space="0" w:color="auto"/>
          </w:divBdr>
        </w:div>
        <w:div w:id="1181968335">
          <w:marLeft w:val="274"/>
          <w:marRight w:val="0"/>
          <w:marTop w:val="0"/>
          <w:marBottom w:val="0"/>
          <w:divBdr>
            <w:top w:val="none" w:sz="0" w:space="0" w:color="auto"/>
            <w:left w:val="none" w:sz="0" w:space="0" w:color="auto"/>
            <w:bottom w:val="none" w:sz="0" w:space="0" w:color="auto"/>
            <w:right w:val="none" w:sz="0" w:space="0" w:color="auto"/>
          </w:divBdr>
        </w:div>
      </w:divsChild>
    </w:div>
    <w:div w:id="465197504">
      <w:bodyDiv w:val="1"/>
      <w:marLeft w:val="0"/>
      <w:marRight w:val="0"/>
      <w:marTop w:val="0"/>
      <w:marBottom w:val="0"/>
      <w:divBdr>
        <w:top w:val="none" w:sz="0" w:space="0" w:color="auto"/>
        <w:left w:val="none" w:sz="0" w:space="0" w:color="auto"/>
        <w:bottom w:val="none" w:sz="0" w:space="0" w:color="auto"/>
        <w:right w:val="none" w:sz="0" w:space="0" w:color="auto"/>
      </w:divBdr>
    </w:div>
    <w:div w:id="536509980">
      <w:bodyDiv w:val="1"/>
      <w:marLeft w:val="0"/>
      <w:marRight w:val="0"/>
      <w:marTop w:val="0"/>
      <w:marBottom w:val="0"/>
      <w:divBdr>
        <w:top w:val="none" w:sz="0" w:space="0" w:color="auto"/>
        <w:left w:val="none" w:sz="0" w:space="0" w:color="auto"/>
        <w:bottom w:val="none" w:sz="0" w:space="0" w:color="auto"/>
        <w:right w:val="none" w:sz="0" w:space="0" w:color="auto"/>
      </w:divBdr>
    </w:div>
    <w:div w:id="557009511">
      <w:bodyDiv w:val="1"/>
      <w:marLeft w:val="0"/>
      <w:marRight w:val="0"/>
      <w:marTop w:val="0"/>
      <w:marBottom w:val="0"/>
      <w:divBdr>
        <w:top w:val="none" w:sz="0" w:space="0" w:color="auto"/>
        <w:left w:val="none" w:sz="0" w:space="0" w:color="auto"/>
        <w:bottom w:val="none" w:sz="0" w:space="0" w:color="auto"/>
        <w:right w:val="none" w:sz="0" w:space="0" w:color="auto"/>
      </w:divBdr>
      <w:divsChild>
        <w:div w:id="199128923">
          <w:marLeft w:val="274"/>
          <w:marRight w:val="0"/>
          <w:marTop w:val="0"/>
          <w:marBottom w:val="0"/>
          <w:divBdr>
            <w:top w:val="none" w:sz="0" w:space="0" w:color="auto"/>
            <w:left w:val="none" w:sz="0" w:space="0" w:color="auto"/>
            <w:bottom w:val="none" w:sz="0" w:space="0" w:color="auto"/>
            <w:right w:val="none" w:sz="0" w:space="0" w:color="auto"/>
          </w:divBdr>
        </w:div>
        <w:div w:id="577862325">
          <w:marLeft w:val="274"/>
          <w:marRight w:val="0"/>
          <w:marTop w:val="0"/>
          <w:marBottom w:val="0"/>
          <w:divBdr>
            <w:top w:val="none" w:sz="0" w:space="0" w:color="auto"/>
            <w:left w:val="none" w:sz="0" w:space="0" w:color="auto"/>
            <w:bottom w:val="none" w:sz="0" w:space="0" w:color="auto"/>
            <w:right w:val="none" w:sz="0" w:space="0" w:color="auto"/>
          </w:divBdr>
        </w:div>
        <w:div w:id="595673607">
          <w:marLeft w:val="274"/>
          <w:marRight w:val="0"/>
          <w:marTop w:val="0"/>
          <w:marBottom w:val="0"/>
          <w:divBdr>
            <w:top w:val="none" w:sz="0" w:space="0" w:color="auto"/>
            <w:left w:val="none" w:sz="0" w:space="0" w:color="auto"/>
            <w:bottom w:val="none" w:sz="0" w:space="0" w:color="auto"/>
            <w:right w:val="none" w:sz="0" w:space="0" w:color="auto"/>
          </w:divBdr>
        </w:div>
        <w:div w:id="1000426855">
          <w:marLeft w:val="274"/>
          <w:marRight w:val="0"/>
          <w:marTop w:val="0"/>
          <w:marBottom w:val="0"/>
          <w:divBdr>
            <w:top w:val="none" w:sz="0" w:space="0" w:color="auto"/>
            <w:left w:val="none" w:sz="0" w:space="0" w:color="auto"/>
            <w:bottom w:val="none" w:sz="0" w:space="0" w:color="auto"/>
            <w:right w:val="none" w:sz="0" w:space="0" w:color="auto"/>
          </w:divBdr>
        </w:div>
        <w:div w:id="1020938748">
          <w:marLeft w:val="274"/>
          <w:marRight w:val="0"/>
          <w:marTop w:val="0"/>
          <w:marBottom w:val="0"/>
          <w:divBdr>
            <w:top w:val="none" w:sz="0" w:space="0" w:color="auto"/>
            <w:left w:val="none" w:sz="0" w:space="0" w:color="auto"/>
            <w:bottom w:val="none" w:sz="0" w:space="0" w:color="auto"/>
            <w:right w:val="none" w:sz="0" w:space="0" w:color="auto"/>
          </w:divBdr>
        </w:div>
      </w:divsChild>
    </w:div>
    <w:div w:id="610431756">
      <w:bodyDiv w:val="1"/>
      <w:marLeft w:val="0"/>
      <w:marRight w:val="0"/>
      <w:marTop w:val="0"/>
      <w:marBottom w:val="0"/>
      <w:divBdr>
        <w:top w:val="none" w:sz="0" w:space="0" w:color="auto"/>
        <w:left w:val="none" w:sz="0" w:space="0" w:color="auto"/>
        <w:bottom w:val="none" w:sz="0" w:space="0" w:color="auto"/>
        <w:right w:val="none" w:sz="0" w:space="0" w:color="auto"/>
      </w:divBdr>
    </w:div>
    <w:div w:id="621229003">
      <w:bodyDiv w:val="1"/>
      <w:marLeft w:val="0"/>
      <w:marRight w:val="0"/>
      <w:marTop w:val="0"/>
      <w:marBottom w:val="0"/>
      <w:divBdr>
        <w:top w:val="none" w:sz="0" w:space="0" w:color="auto"/>
        <w:left w:val="none" w:sz="0" w:space="0" w:color="auto"/>
        <w:bottom w:val="none" w:sz="0" w:space="0" w:color="auto"/>
        <w:right w:val="none" w:sz="0" w:space="0" w:color="auto"/>
      </w:divBdr>
    </w:div>
    <w:div w:id="669866250">
      <w:bodyDiv w:val="1"/>
      <w:marLeft w:val="0"/>
      <w:marRight w:val="0"/>
      <w:marTop w:val="0"/>
      <w:marBottom w:val="0"/>
      <w:divBdr>
        <w:top w:val="none" w:sz="0" w:space="0" w:color="auto"/>
        <w:left w:val="none" w:sz="0" w:space="0" w:color="auto"/>
        <w:bottom w:val="none" w:sz="0" w:space="0" w:color="auto"/>
        <w:right w:val="none" w:sz="0" w:space="0" w:color="auto"/>
      </w:divBdr>
    </w:div>
    <w:div w:id="717365577">
      <w:bodyDiv w:val="1"/>
      <w:marLeft w:val="0"/>
      <w:marRight w:val="0"/>
      <w:marTop w:val="0"/>
      <w:marBottom w:val="0"/>
      <w:divBdr>
        <w:top w:val="none" w:sz="0" w:space="0" w:color="auto"/>
        <w:left w:val="none" w:sz="0" w:space="0" w:color="auto"/>
        <w:bottom w:val="none" w:sz="0" w:space="0" w:color="auto"/>
        <w:right w:val="none" w:sz="0" w:space="0" w:color="auto"/>
      </w:divBdr>
    </w:div>
    <w:div w:id="855342570">
      <w:bodyDiv w:val="1"/>
      <w:marLeft w:val="0"/>
      <w:marRight w:val="0"/>
      <w:marTop w:val="0"/>
      <w:marBottom w:val="0"/>
      <w:divBdr>
        <w:top w:val="none" w:sz="0" w:space="0" w:color="auto"/>
        <w:left w:val="none" w:sz="0" w:space="0" w:color="auto"/>
        <w:bottom w:val="none" w:sz="0" w:space="0" w:color="auto"/>
        <w:right w:val="none" w:sz="0" w:space="0" w:color="auto"/>
      </w:divBdr>
    </w:div>
    <w:div w:id="890195614">
      <w:bodyDiv w:val="1"/>
      <w:marLeft w:val="0"/>
      <w:marRight w:val="0"/>
      <w:marTop w:val="0"/>
      <w:marBottom w:val="0"/>
      <w:divBdr>
        <w:top w:val="none" w:sz="0" w:space="0" w:color="auto"/>
        <w:left w:val="none" w:sz="0" w:space="0" w:color="auto"/>
        <w:bottom w:val="none" w:sz="0" w:space="0" w:color="auto"/>
        <w:right w:val="none" w:sz="0" w:space="0" w:color="auto"/>
      </w:divBdr>
    </w:div>
    <w:div w:id="966736196">
      <w:bodyDiv w:val="1"/>
      <w:marLeft w:val="0"/>
      <w:marRight w:val="0"/>
      <w:marTop w:val="0"/>
      <w:marBottom w:val="0"/>
      <w:divBdr>
        <w:top w:val="none" w:sz="0" w:space="0" w:color="auto"/>
        <w:left w:val="none" w:sz="0" w:space="0" w:color="auto"/>
        <w:bottom w:val="none" w:sz="0" w:space="0" w:color="auto"/>
        <w:right w:val="none" w:sz="0" w:space="0" w:color="auto"/>
      </w:divBdr>
      <w:divsChild>
        <w:div w:id="147325600">
          <w:marLeft w:val="274"/>
          <w:marRight w:val="0"/>
          <w:marTop w:val="0"/>
          <w:marBottom w:val="0"/>
          <w:divBdr>
            <w:top w:val="none" w:sz="0" w:space="0" w:color="auto"/>
            <w:left w:val="none" w:sz="0" w:space="0" w:color="auto"/>
            <w:bottom w:val="none" w:sz="0" w:space="0" w:color="auto"/>
            <w:right w:val="none" w:sz="0" w:space="0" w:color="auto"/>
          </w:divBdr>
        </w:div>
        <w:div w:id="453334093">
          <w:marLeft w:val="274"/>
          <w:marRight w:val="0"/>
          <w:marTop w:val="0"/>
          <w:marBottom w:val="0"/>
          <w:divBdr>
            <w:top w:val="none" w:sz="0" w:space="0" w:color="auto"/>
            <w:left w:val="none" w:sz="0" w:space="0" w:color="auto"/>
            <w:bottom w:val="none" w:sz="0" w:space="0" w:color="auto"/>
            <w:right w:val="none" w:sz="0" w:space="0" w:color="auto"/>
          </w:divBdr>
        </w:div>
        <w:div w:id="867137726">
          <w:marLeft w:val="274"/>
          <w:marRight w:val="0"/>
          <w:marTop w:val="0"/>
          <w:marBottom w:val="0"/>
          <w:divBdr>
            <w:top w:val="none" w:sz="0" w:space="0" w:color="auto"/>
            <w:left w:val="none" w:sz="0" w:space="0" w:color="auto"/>
            <w:bottom w:val="none" w:sz="0" w:space="0" w:color="auto"/>
            <w:right w:val="none" w:sz="0" w:space="0" w:color="auto"/>
          </w:divBdr>
        </w:div>
      </w:divsChild>
    </w:div>
    <w:div w:id="998002504">
      <w:bodyDiv w:val="1"/>
      <w:marLeft w:val="0"/>
      <w:marRight w:val="0"/>
      <w:marTop w:val="0"/>
      <w:marBottom w:val="0"/>
      <w:divBdr>
        <w:top w:val="none" w:sz="0" w:space="0" w:color="auto"/>
        <w:left w:val="none" w:sz="0" w:space="0" w:color="auto"/>
        <w:bottom w:val="none" w:sz="0" w:space="0" w:color="auto"/>
        <w:right w:val="none" w:sz="0" w:space="0" w:color="auto"/>
      </w:divBdr>
    </w:div>
    <w:div w:id="1037319692">
      <w:bodyDiv w:val="1"/>
      <w:marLeft w:val="0"/>
      <w:marRight w:val="0"/>
      <w:marTop w:val="0"/>
      <w:marBottom w:val="0"/>
      <w:divBdr>
        <w:top w:val="none" w:sz="0" w:space="0" w:color="auto"/>
        <w:left w:val="none" w:sz="0" w:space="0" w:color="auto"/>
        <w:bottom w:val="none" w:sz="0" w:space="0" w:color="auto"/>
        <w:right w:val="none" w:sz="0" w:space="0" w:color="auto"/>
      </w:divBdr>
    </w:div>
    <w:div w:id="1078020314">
      <w:bodyDiv w:val="1"/>
      <w:marLeft w:val="0"/>
      <w:marRight w:val="0"/>
      <w:marTop w:val="0"/>
      <w:marBottom w:val="0"/>
      <w:divBdr>
        <w:top w:val="none" w:sz="0" w:space="0" w:color="auto"/>
        <w:left w:val="none" w:sz="0" w:space="0" w:color="auto"/>
        <w:bottom w:val="none" w:sz="0" w:space="0" w:color="auto"/>
        <w:right w:val="none" w:sz="0" w:space="0" w:color="auto"/>
      </w:divBdr>
    </w:div>
    <w:div w:id="1132208970">
      <w:bodyDiv w:val="1"/>
      <w:marLeft w:val="0"/>
      <w:marRight w:val="0"/>
      <w:marTop w:val="0"/>
      <w:marBottom w:val="0"/>
      <w:divBdr>
        <w:top w:val="none" w:sz="0" w:space="0" w:color="auto"/>
        <w:left w:val="none" w:sz="0" w:space="0" w:color="auto"/>
        <w:bottom w:val="none" w:sz="0" w:space="0" w:color="auto"/>
        <w:right w:val="none" w:sz="0" w:space="0" w:color="auto"/>
      </w:divBdr>
    </w:div>
    <w:div w:id="1166937048">
      <w:bodyDiv w:val="1"/>
      <w:marLeft w:val="0"/>
      <w:marRight w:val="0"/>
      <w:marTop w:val="0"/>
      <w:marBottom w:val="0"/>
      <w:divBdr>
        <w:top w:val="none" w:sz="0" w:space="0" w:color="auto"/>
        <w:left w:val="none" w:sz="0" w:space="0" w:color="auto"/>
        <w:bottom w:val="none" w:sz="0" w:space="0" w:color="auto"/>
        <w:right w:val="none" w:sz="0" w:space="0" w:color="auto"/>
      </w:divBdr>
    </w:div>
    <w:div w:id="1180270120">
      <w:bodyDiv w:val="1"/>
      <w:marLeft w:val="0"/>
      <w:marRight w:val="0"/>
      <w:marTop w:val="0"/>
      <w:marBottom w:val="0"/>
      <w:divBdr>
        <w:top w:val="none" w:sz="0" w:space="0" w:color="auto"/>
        <w:left w:val="none" w:sz="0" w:space="0" w:color="auto"/>
        <w:bottom w:val="none" w:sz="0" w:space="0" w:color="auto"/>
        <w:right w:val="none" w:sz="0" w:space="0" w:color="auto"/>
      </w:divBdr>
    </w:div>
    <w:div w:id="1216939192">
      <w:bodyDiv w:val="1"/>
      <w:marLeft w:val="0"/>
      <w:marRight w:val="0"/>
      <w:marTop w:val="0"/>
      <w:marBottom w:val="0"/>
      <w:divBdr>
        <w:top w:val="none" w:sz="0" w:space="0" w:color="auto"/>
        <w:left w:val="none" w:sz="0" w:space="0" w:color="auto"/>
        <w:bottom w:val="none" w:sz="0" w:space="0" w:color="auto"/>
        <w:right w:val="none" w:sz="0" w:space="0" w:color="auto"/>
      </w:divBdr>
    </w:div>
    <w:div w:id="1261716830">
      <w:bodyDiv w:val="1"/>
      <w:marLeft w:val="0"/>
      <w:marRight w:val="0"/>
      <w:marTop w:val="0"/>
      <w:marBottom w:val="0"/>
      <w:divBdr>
        <w:top w:val="none" w:sz="0" w:space="0" w:color="auto"/>
        <w:left w:val="none" w:sz="0" w:space="0" w:color="auto"/>
        <w:bottom w:val="none" w:sz="0" w:space="0" w:color="auto"/>
        <w:right w:val="none" w:sz="0" w:space="0" w:color="auto"/>
      </w:divBdr>
    </w:div>
    <w:div w:id="1321154339">
      <w:bodyDiv w:val="1"/>
      <w:marLeft w:val="0"/>
      <w:marRight w:val="0"/>
      <w:marTop w:val="0"/>
      <w:marBottom w:val="0"/>
      <w:divBdr>
        <w:top w:val="none" w:sz="0" w:space="0" w:color="auto"/>
        <w:left w:val="none" w:sz="0" w:space="0" w:color="auto"/>
        <w:bottom w:val="none" w:sz="0" w:space="0" w:color="auto"/>
        <w:right w:val="none" w:sz="0" w:space="0" w:color="auto"/>
      </w:divBdr>
    </w:div>
    <w:div w:id="1362703023">
      <w:bodyDiv w:val="1"/>
      <w:marLeft w:val="0"/>
      <w:marRight w:val="0"/>
      <w:marTop w:val="0"/>
      <w:marBottom w:val="0"/>
      <w:divBdr>
        <w:top w:val="none" w:sz="0" w:space="0" w:color="auto"/>
        <w:left w:val="none" w:sz="0" w:space="0" w:color="auto"/>
        <w:bottom w:val="none" w:sz="0" w:space="0" w:color="auto"/>
        <w:right w:val="none" w:sz="0" w:space="0" w:color="auto"/>
      </w:divBdr>
    </w:div>
    <w:div w:id="1370687407">
      <w:bodyDiv w:val="1"/>
      <w:marLeft w:val="0"/>
      <w:marRight w:val="0"/>
      <w:marTop w:val="0"/>
      <w:marBottom w:val="0"/>
      <w:divBdr>
        <w:top w:val="none" w:sz="0" w:space="0" w:color="auto"/>
        <w:left w:val="none" w:sz="0" w:space="0" w:color="auto"/>
        <w:bottom w:val="none" w:sz="0" w:space="0" w:color="auto"/>
        <w:right w:val="none" w:sz="0" w:space="0" w:color="auto"/>
      </w:divBdr>
    </w:div>
    <w:div w:id="1385567045">
      <w:bodyDiv w:val="1"/>
      <w:marLeft w:val="0"/>
      <w:marRight w:val="0"/>
      <w:marTop w:val="0"/>
      <w:marBottom w:val="0"/>
      <w:divBdr>
        <w:top w:val="none" w:sz="0" w:space="0" w:color="auto"/>
        <w:left w:val="none" w:sz="0" w:space="0" w:color="auto"/>
        <w:bottom w:val="none" w:sz="0" w:space="0" w:color="auto"/>
        <w:right w:val="none" w:sz="0" w:space="0" w:color="auto"/>
      </w:divBdr>
    </w:div>
    <w:div w:id="1402092848">
      <w:bodyDiv w:val="1"/>
      <w:marLeft w:val="0"/>
      <w:marRight w:val="0"/>
      <w:marTop w:val="0"/>
      <w:marBottom w:val="0"/>
      <w:divBdr>
        <w:top w:val="none" w:sz="0" w:space="0" w:color="auto"/>
        <w:left w:val="none" w:sz="0" w:space="0" w:color="auto"/>
        <w:bottom w:val="none" w:sz="0" w:space="0" w:color="auto"/>
        <w:right w:val="none" w:sz="0" w:space="0" w:color="auto"/>
      </w:divBdr>
    </w:div>
    <w:div w:id="1450054496">
      <w:bodyDiv w:val="1"/>
      <w:marLeft w:val="0"/>
      <w:marRight w:val="0"/>
      <w:marTop w:val="0"/>
      <w:marBottom w:val="0"/>
      <w:divBdr>
        <w:top w:val="none" w:sz="0" w:space="0" w:color="auto"/>
        <w:left w:val="none" w:sz="0" w:space="0" w:color="auto"/>
        <w:bottom w:val="none" w:sz="0" w:space="0" w:color="auto"/>
        <w:right w:val="none" w:sz="0" w:space="0" w:color="auto"/>
      </w:divBdr>
    </w:div>
    <w:div w:id="1458599211">
      <w:bodyDiv w:val="1"/>
      <w:marLeft w:val="0"/>
      <w:marRight w:val="0"/>
      <w:marTop w:val="0"/>
      <w:marBottom w:val="0"/>
      <w:divBdr>
        <w:top w:val="none" w:sz="0" w:space="0" w:color="auto"/>
        <w:left w:val="none" w:sz="0" w:space="0" w:color="auto"/>
        <w:bottom w:val="none" w:sz="0" w:space="0" w:color="auto"/>
        <w:right w:val="none" w:sz="0" w:space="0" w:color="auto"/>
      </w:divBdr>
      <w:divsChild>
        <w:div w:id="721750718">
          <w:marLeft w:val="274"/>
          <w:marRight w:val="0"/>
          <w:marTop w:val="0"/>
          <w:marBottom w:val="0"/>
          <w:divBdr>
            <w:top w:val="none" w:sz="0" w:space="0" w:color="auto"/>
            <w:left w:val="none" w:sz="0" w:space="0" w:color="auto"/>
            <w:bottom w:val="none" w:sz="0" w:space="0" w:color="auto"/>
            <w:right w:val="none" w:sz="0" w:space="0" w:color="auto"/>
          </w:divBdr>
        </w:div>
        <w:div w:id="1248416526">
          <w:marLeft w:val="274"/>
          <w:marRight w:val="0"/>
          <w:marTop w:val="0"/>
          <w:marBottom w:val="0"/>
          <w:divBdr>
            <w:top w:val="none" w:sz="0" w:space="0" w:color="auto"/>
            <w:left w:val="none" w:sz="0" w:space="0" w:color="auto"/>
            <w:bottom w:val="none" w:sz="0" w:space="0" w:color="auto"/>
            <w:right w:val="none" w:sz="0" w:space="0" w:color="auto"/>
          </w:divBdr>
        </w:div>
      </w:divsChild>
    </w:div>
    <w:div w:id="1548300553">
      <w:bodyDiv w:val="1"/>
      <w:marLeft w:val="0"/>
      <w:marRight w:val="0"/>
      <w:marTop w:val="0"/>
      <w:marBottom w:val="0"/>
      <w:divBdr>
        <w:top w:val="none" w:sz="0" w:space="0" w:color="auto"/>
        <w:left w:val="none" w:sz="0" w:space="0" w:color="auto"/>
        <w:bottom w:val="none" w:sz="0" w:space="0" w:color="auto"/>
        <w:right w:val="none" w:sz="0" w:space="0" w:color="auto"/>
      </w:divBdr>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
    <w:div w:id="1673144355">
      <w:bodyDiv w:val="1"/>
      <w:marLeft w:val="0"/>
      <w:marRight w:val="0"/>
      <w:marTop w:val="0"/>
      <w:marBottom w:val="0"/>
      <w:divBdr>
        <w:top w:val="none" w:sz="0" w:space="0" w:color="auto"/>
        <w:left w:val="none" w:sz="0" w:space="0" w:color="auto"/>
        <w:bottom w:val="none" w:sz="0" w:space="0" w:color="auto"/>
        <w:right w:val="none" w:sz="0" w:space="0" w:color="auto"/>
      </w:divBdr>
      <w:divsChild>
        <w:div w:id="55397862">
          <w:marLeft w:val="274"/>
          <w:marRight w:val="0"/>
          <w:marTop w:val="0"/>
          <w:marBottom w:val="0"/>
          <w:divBdr>
            <w:top w:val="none" w:sz="0" w:space="0" w:color="auto"/>
            <w:left w:val="none" w:sz="0" w:space="0" w:color="auto"/>
            <w:bottom w:val="none" w:sz="0" w:space="0" w:color="auto"/>
            <w:right w:val="none" w:sz="0" w:space="0" w:color="auto"/>
          </w:divBdr>
        </w:div>
        <w:div w:id="135077195">
          <w:marLeft w:val="274"/>
          <w:marRight w:val="0"/>
          <w:marTop w:val="0"/>
          <w:marBottom w:val="0"/>
          <w:divBdr>
            <w:top w:val="none" w:sz="0" w:space="0" w:color="auto"/>
            <w:left w:val="none" w:sz="0" w:space="0" w:color="auto"/>
            <w:bottom w:val="none" w:sz="0" w:space="0" w:color="auto"/>
            <w:right w:val="none" w:sz="0" w:space="0" w:color="auto"/>
          </w:divBdr>
        </w:div>
        <w:div w:id="300039723">
          <w:marLeft w:val="274"/>
          <w:marRight w:val="0"/>
          <w:marTop w:val="0"/>
          <w:marBottom w:val="0"/>
          <w:divBdr>
            <w:top w:val="none" w:sz="0" w:space="0" w:color="auto"/>
            <w:left w:val="none" w:sz="0" w:space="0" w:color="auto"/>
            <w:bottom w:val="none" w:sz="0" w:space="0" w:color="auto"/>
            <w:right w:val="none" w:sz="0" w:space="0" w:color="auto"/>
          </w:divBdr>
        </w:div>
        <w:div w:id="354616594">
          <w:marLeft w:val="274"/>
          <w:marRight w:val="0"/>
          <w:marTop w:val="0"/>
          <w:marBottom w:val="0"/>
          <w:divBdr>
            <w:top w:val="none" w:sz="0" w:space="0" w:color="auto"/>
            <w:left w:val="none" w:sz="0" w:space="0" w:color="auto"/>
            <w:bottom w:val="none" w:sz="0" w:space="0" w:color="auto"/>
            <w:right w:val="none" w:sz="0" w:space="0" w:color="auto"/>
          </w:divBdr>
        </w:div>
        <w:div w:id="368844834">
          <w:marLeft w:val="274"/>
          <w:marRight w:val="0"/>
          <w:marTop w:val="0"/>
          <w:marBottom w:val="0"/>
          <w:divBdr>
            <w:top w:val="none" w:sz="0" w:space="0" w:color="auto"/>
            <w:left w:val="none" w:sz="0" w:space="0" w:color="auto"/>
            <w:bottom w:val="none" w:sz="0" w:space="0" w:color="auto"/>
            <w:right w:val="none" w:sz="0" w:space="0" w:color="auto"/>
          </w:divBdr>
        </w:div>
        <w:div w:id="396366908">
          <w:marLeft w:val="274"/>
          <w:marRight w:val="0"/>
          <w:marTop w:val="0"/>
          <w:marBottom w:val="0"/>
          <w:divBdr>
            <w:top w:val="none" w:sz="0" w:space="0" w:color="auto"/>
            <w:left w:val="none" w:sz="0" w:space="0" w:color="auto"/>
            <w:bottom w:val="none" w:sz="0" w:space="0" w:color="auto"/>
            <w:right w:val="none" w:sz="0" w:space="0" w:color="auto"/>
          </w:divBdr>
        </w:div>
        <w:div w:id="476806119">
          <w:marLeft w:val="274"/>
          <w:marRight w:val="0"/>
          <w:marTop w:val="0"/>
          <w:marBottom w:val="0"/>
          <w:divBdr>
            <w:top w:val="none" w:sz="0" w:space="0" w:color="auto"/>
            <w:left w:val="none" w:sz="0" w:space="0" w:color="auto"/>
            <w:bottom w:val="none" w:sz="0" w:space="0" w:color="auto"/>
            <w:right w:val="none" w:sz="0" w:space="0" w:color="auto"/>
          </w:divBdr>
        </w:div>
        <w:div w:id="533545815">
          <w:marLeft w:val="274"/>
          <w:marRight w:val="0"/>
          <w:marTop w:val="0"/>
          <w:marBottom w:val="0"/>
          <w:divBdr>
            <w:top w:val="none" w:sz="0" w:space="0" w:color="auto"/>
            <w:left w:val="none" w:sz="0" w:space="0" w:color="auto"/>
            <w:bottom w:val="none" w:sz="0" w:space="0" w:color="auto"/>
            <w:right w:val="none" w:sz="0" w:space="0" w:color="auto"/>
          </w:divBdr>
        </w:div>
        <w:div w:id="543828719">
          <w:marLeft w:val="274"/>
          <w:marRight w:val="0"/>
          <w:marTop w:val="0"/>
          <w:marBottom w:val="0"/>
          <w:divBdr>
            <w:top w:val="none" w:sz="0" w:space="0" w:color="auto"/>
            <w:left w:val="none" w:sz="0" w:space="0" w:color="auto"/>
            <w:bottom w:val="none" w:sz="0" w:space="0" w:color="auto"/>
            <w:right w:val="none" w:sz="0" w:space="0" w:color="auto"/>
          </w:divBdr>
        </w:div>
        <w:div w:id="626084766">
          <w:marLeft w:val="274"/>
          <w:marRight w:val="0"/>
          <w:marTop w:val="0"/>
          <w:marBottom w:val="0"/>
          <w:divBdr>
            <w:top w:val="none" w:sz="0" w:space="0" w:color="auto"/>
            <w:left w:val="none" w:sz="0" w:space="0" w:color="auto"/>
            <w:bottom w:val="none" w:sz="0" w:space="0" w:color="auto"/>
            <w:right w:val="none" w:sz="0" w:space="0" w:color="auto"/>
          </w:divBdr>
        </w:div>
        <w:div w:id="644820734">
          <w:marLeft w:val="274"/>
          <w:marRight w:val="0"/>
          <w:marTop w:val="0"/>
          <w:marBottom w:val="0"/>
          <w:divBdr>
            <w:top w:val="none" w:sz="0" w:space="0" w:color="auto"/>
            <w:left w:val="none" w:sz="0" w:space="0" w:color="auto"/>
            <w:bottom w:val="none" w:sz="0" w:space="0" w:color="auto"/>
            <w:right w:val="none" w:sz="0" w:space="0" w:color="auto"/>
          </w:divBdr>
        </w:div>
        <w:div w:id="669410264">
          <w:marLeft w:val="274"/>
          <w:marRight w:val="0"/>
          <w:marTop w:val="0"/>
          <w:marBottom w:val="0"/>
          <w:divBdr>
            <w:top w:val="none" w:sz="0" w:space="0" w:color="auto"/>
            <w:left w:val="none" w:sz="0" w:space="0" w:color="auto"/>
            <w:bottom w:val="none" w:sz="0" w:space="0" w:color="auto"/>
            <w:right w:val="none" w:sz="0" w:space="0" w:color="auto"/>
          </w:divBdr>
        </w:div>
        <w:div w:id="728529740">
          <w:marLeft w:val="274"/>
          <w:marRight w:val="0"/>
          <w:marTop w:val="0"/>
          <w:marBottom w:val="0"/>
          <w:divBdr>
            <w:top w:val="none" w:sz="0" w:space="0" w:color="auto"/>
            <w:left w:val="none" w:sz="0" w:space="0" w:color="auto"/>
            <w:bottom w:val="none" w:sz="0" w:space="0" w:color="auto"/>
            <w:right w:val="none" w:sz="0" w:space="0" w:color="auto"/>
          </w:divBdr>
        </w:div>
        <w:div w:id="862206877">
          <w:marLeft w:val="274"/>
          <w:marRight w:val="0"/>
          <w:marTop w:val="0"/>
          <w:marBottom w:val="0"/>
          <w:divBdr>
            <w:top w:val="none" w:sz="0" w:space="0" w:color="auto"/>
            <w:left w:val="none" w:sz="0" w:space="0" w:color="auto"/>
            <w:bottom w:val="none" w:sz="0" w:space="0" w:color="auto"/>
            <w:right w:val="none" w:sz="0" w:space="0" w:color="auto"/>
          </w:divBdr>
        </w:div>
        <w:div w:id="1252004028">
          <w:marLeft w:val="274"/>
          <w:marRight w:val="0"/>
          <w:marTop w:val="0"/>
          <w:marBottom w:val="0"/>
          <w:divBdr>
            <w:top w:val="none" w:sz="0" w:space="0" w:color="auto"/>
            <w:left w:val="none" w:sz="0" w:space="0" w:color="auto"/>
            <w:bottom w:val="none" w:sz="0" w:space="0" w:color="auto"/>
            <w:right w:val="none" w:sz="0" w:space="0" w:color="auto"/>
          </w:divBdr>
        </w:div>
        <w:div w:id="1586913603">
          <w:marLeft w:val="274"/>
          <w:marRight w:val="0"/>
          <w:marTop w:val="0"/>
          <w:marBottom w:val="0"/>
          <w:divBdr>
            <w:top w:val="none" w:sz="0" w:space="0" w:color="auto"/>
            <w:left w:val="none" w:sz="0" w:space="0" w:color="auto"/>
            <w:bottom w:val="none" w:sz="0" w:space="0" w:color="auto"/>
            <w:right w:val="none" w:sz="0" w:space="0" w:color="auto"/>
          </w:divBdr>
        </w:div>
        <w:div w:id="1676298365">
          <w:marLeft w:val="274"/>
          <w:marRight w:val="0"/>
          <w:marTop w:val="0"/>
          <w:marBottom w:val="0"/>
          <w:divBdr>
            <w:top w:val="none" w:sz="0" w:space="0" w:color="auto"/>
            <w:left w:val="none" w:sz="0" w:space="0" w:color="auto"/>
            <w:bottom w:val="none" w:sz="0" w:space="0" w:color="auto"/>
            <w:right w:val="none" w:sz="0" w:space="0" w:color="auto"/>
          </w:divBdr>
        </w:div>
        <w:div w:id="1694379792">
          <w:marLeft w:val="274"/>
          <w:marRight w:val="0"/>
          <w:marTop w:val="0"/>
          <w:marBottom w:val="0"/>
          <w:divBdr>
            <w:top w:val="none" w:sz="0" w:space="0" w:color="auto"/>
            <w:left w:val="none" w:sz="0" w:space="0" w:color="auto"/>
            <w:bottom w:val="none" w:sz="0" w:space="0" w:color="auto"/>
            <w:right w:val="none" w:sz="0" w:space="0" w:color="auto"/>
          </w:divBdr>
        </w:div>
        <w:div w:id="1717469047">
          <w:marLeft w:val="274"/>
          <w:marRight w:val="0"/>
          <w:marTop w:val="0"/>
          <w:marBottom w:val="0"/>
          <w:divBdr>
            <w:top w:val="none" w:sz="0" w:space="0" w:color="auto"/>
            <w:left w:val="none" w:sz="0" w:space="0" w:color="auto"/>
            <w:bottom w:val="none" w:sz="0" w:space="0" w:color="auto"/>
            <w:right w:val="none" w:sz="0" w:space="0" w:color="auto"/>
          </w:divBdr>
        </w:div>
        <w:div w:id="1817338499">
          <w:marLeft w:val="274"/>
          <w:marRight w:val="0"/>
          <w:marTop w:val="0"/>
          <w:marBottom w:val="0"/>
          <w:divBdr>
            <w:top w:val="none" w:sz="0" w:space="0" w:color="auto"/>
            <w:left w:val="none" w:sz="0" w:space="0" w:color="auto"/>
            <w:bottom w:val="none" w:sz="0" w:space="0" w:color="auto"/>
            <w:right w:val="none" w:sz="0" w:space="0" w:color="auto"/>
          </w:divBdr>
        </w:div>
        <w:div w:id="1833520213">
          <w:marLeft w:val="274"/>
          <w:marRight w:val="0"/>
          <w:marTop w:val="0"/>
          <w:marBottom w:val="0"/>
          <w:divBdr>
            <w:top w:val="none" w:sz="0" w:space="0" w:color="auto"/>
            <w:left w:val="none" w:sz="0" w:space="0" w:color="auto"/>
            <w:bottom w:val="none" w:sz="0" w:space="0" w:color="auto"/>
            <w:right w:val="none" w:sz="0" w:space="0" w:color="auto"/>
          </w:divBdr>
        </w:div>
        <w:div w:id="1893224115">
          <w:marLeft w:val="274"/>
          <w:marRight w:val="0"/>
          <w:marTop w:val="0"/>
          <w:marBottom w:val="0"/>
          <w:divBdr>
            <w:top w:val="none" w:sz="0" w:space="0" w:color="auto"/>
            <w:left w:val="none" w:sz="0" w:space="0" w:color="auto"/>
            <w:bottom w:val="none" w:sz="0" w:space="0" w:color="auto"/>
            <w:right w:val="none" w:sz="0" w:space="0" w:color="auto"/>
          </w:divBdr>
        </w:div>
        <w:div w:id="1932620166">
          <w:marLeft w:val="274"/>
          <w:marRight w:val="0"/>
          <w:marTop w:val="0"/>
          <w:marBottom w:val="0"/>
          <w:divBdr>
            <w:top w:val="none" w:sz="0" w:space="0" w:color="auto"/>
            <w:left w:val="none" w:sz="0" w:space="0" w:color="auto"/>
            <w:bottom w:val="none" w:sz="0" w:space="0" w:color="auto"/>
            <w:right w:val="none" w:sz="0" w:space="0" w:color="auto"/>
          </w:divBdr>
        </w:div>
        <w:div w:id="1972975135">
          <w:marLeft w:val="274"/>
          <w:marRight w:val="0"/>
          <w:marTop w:val="0"/>
          <w:marBottom w:val="0"/>
          <w:divBdr>
            <w:top w:val="none" w:sz="0" w:space="0" w:color="auto"/>
            <w:left w:val="none" w:sz="0" w:space="0" w:color="auto"/>
            <w:bottom w:val="none" w:sz="0" w:space="0" w:color="auto"/>
            <w:right w:val="none" w:sz="0" w:space="0" w:color="auto"/>
          </w:divBdr>
        </w:div>
      </w:divsChild>
    </w:div>
    <w:div w:id="1720669798">
      <w:bodyDiv w:val="1"/>
      <w:marLeft w:val="0"/>
      <w:marRight w:val="0"/>
      <w:marTop w:val="0"/>
      <w:marBottom w:val="0"/>
      <w:divBdr>
        <w:top w:val="none" w:sz="0" w:space="0" w:color="auto"/>
        <w:left w:val="none" w:sz="0" w:space="0" w:color="auto"/>
        <w:bottom w:val="none" w:sz="0" w:space="0" w:color="auto"/>
        <w:right w:val="none" w:sz="0" w:space="0" w:color="auto"/>
      </w:divBdr>
    </w:div>
    <w:div w:id="1830049582">
      <w:bodyDiv w:val="1"/>
      <w:marLeft w:val="0"/>
      <w:marRight w:val="0"/>
      <w:marTop w:val="0"/>
      <w:marBottom w:val="0"/>
      <w:divBdr>
        <w:top w:val="none" w:sz="0" w:space="0" w:color="auto"/>
        <w:left w:val="none" w:sz="0" w:space="0" w:color="auto"/>
        <w:bottom w:val="none" w:sz="0" w:space="0" w:color="auto"/>
        <w:right w:val="none" w:sz="0" w:space="0" w:color="auto"/>
      </w:divBdr>
    </w:div>
    <w:div w:id="1880436481">
      <w:bodyDiv w:val="1"/>
      <w:marLeft w:val="0"/>
      <w:marRight w:val="0"/>
      <w:marTop w:val="0"/>
      <w:marBottom w:val="0"/>
      <w:divBdr>
        <w:top w:val="none" w:sz="0" w:space="0" w:color="auto"/>
        <w:left w:val="none" w:sz="0" w:space="0" w:color="auto"/>
        <w:bottom w:val="none" w:sz="0" w:space="0" w:color="auto"/>
        <w:right w:val="none" w:sz="0" w:space="0" w:color="auto"/>
      </w:divBdr>
      <w:divsChild>
        <w:div w:id="597373082">
          <w:marLeft w:val="274"/>
          <w:marRight w:val="0"/>
          <w:marTop w:val="0"/>
          <w:marBottom w:val="0"/>
          <w:divBdr>
            <w:top w:val="none" w:sz="0" w:space="0" w:color="auto"/>
            <w:left w:val="none" w:sz="0" w:space="0" w:color="auto"/>
            <w:bottom w:val="none" w:sz="0" w:space="0" w:color="auto"/>
            <w:right w:val="none" w:sz="0" w:space="0" w:color="auto"/>
          </w:divBdr>
        </w:div>
        <w:div w:id="679427728">
          <w:marLeft w:val="274"/>
          <w:marRight w:val="0"/>
          <w:marTop w:val="0"/>
          <w:marBottom w:val="0"/>
          <w:divBdr>
            <w:top w:val="none" w:sz="0" w:space="0" w:color="auto"/>
            <w:left w:val="none" w:sz="0" w:space="0" w:color="auto"/>
            <w:bottom w:val="none" w:sz="0" w:space="0" w:color="auto"/>
            <w:right w:val="none" w:sz="0" w:space="0" w:color="auto"/>
          </w:divBdr>
        </w:div>
        <w:div w:id="1026835609">
          <w:marLeft w:val="274"/>
          <w:marRight w:val="0"/>
          <w:marTop w:val="0"/>
          <w:marBottom w:val="0"/>
          <w:divBdr>
            <w:top w:val="none" w:sz="0" w:space="0" w:color="auto"/>
            <w:left w:val="none" w:sz="0" w:space="0" w:color="auto"/>
            <w:bottom w:val="none" w:sz="0" w:space="0" w:color="auto"/>
            <w:right w:val="none" w:sz="0" w:space="0" w:color="auto"/>
          </w:divBdr>
        </w:div>
        <w:div w:id="1368215597">
          <w:marLeft w:val="274"/>
          <w:marRight w:val="0"/>
          <w:marTop w:val="0"/>
          <w:marBottom w:val="0"/>
          <w:divBdr>
            <w:top w:val="none" w:sz="0" w:space="0" w:color="auto"/>
            <w:left w:val="none" w:sz="0" w:space="0" w:color="auto"/>
            <w:bottom w:val="none" w:sz="0" w:space="0" w:color="auto"/>
            <w:right w:val="none" w:sz="0" w:space="0" w:color="auto"/>
          </w:divBdr>
        </w:div>
      </w:divsChild>
    </w:div>
    <w:div w:id="1905070003">
      <w:bodyDiv w:val="1"/>
      <w:marLeft w:val="0"/>
      <w:marRight w:val="0"/>
      <w:marTop w:val="0"/>
      <w:marBottom w:val="0"/>
      <w:divBdr>
        <w:top w:val="none" w:sz="0" w:space="0" w:color="auto"/>
        <w:left w:val="none" w:sz="0" w:space="0" w:color="auto"/>
        <w:bottom w:val="none" w:sz="0" w:space="0" w:color="auto"/>
        <w:right w:val="none" w:sz="0" w:space="0" w:color="auto"/>
      </w:divBdr>
    </w:div>
    <w:div w:id="1936209233">
      <w:bodyDiv w:val="1"/>
      <w:marLeft w:val="0"/>
      <w:marRight w:val="0"/>
      <w:marTop w:val="0"/>
      <w:marBottom w:val="0"/>
      <w:divBdr>
        <w:top w:val="none" w:sz="0" w:space="0" w:color="auto"/>
        <w:left w:val="none" w:sz="0" w:space="0" w:color="auto"/>
        <w:bottom w:val="none" w:sz="0" w:space="0" w:color="auto"/>
        <w:right w:val="none" w:sz="0" w:space="0" w:color="auto"/>
      </w:divBdr>
      <w:divsChild>
        <w:div w:id="833834612">
          <w:marLeft w:val="274"/>
          <w:marRight w:val="0"/>
          <w:marTop w:val="0"/>
          <w:marBottom w:val="0"/>
          <w:divBdr>
            <w:top w:val="none" w:sz="0" w:space="0" w:color="auto"/>
            <w:left w:val="none" w:sz="0" w:space="0" w:color="auto"/>
            <w:bottom w:val="none" w:sz="0" w:space="0" w:color="auto"/>
            <w:right w:val="none" w:sz="0" w:space="0" w:color="auto"/>
          </w:divBdr>
        </w:div>
        <w:div w:id="1201627523">
          <w:marLeft w:val="274"/>
          <w:marRight w:val="0"/>
          <w:marTop w:val="0"/>
          <w:marBottom w:val="0"/>
          <w:divBdr>
            <w:top w:val="none" w:sz="0" w:space="0" w:color="auto"/>
            <w:left w:val="none" w:sz="0" w:space="0" w:color="auto"/>
            <w:bottom w:val="none" w:sz="0" w:space="0" w:color="auto"/>
            <w:right w:val="none" w:sz="0" w:space="0" w:color="auto"/>
          </w:divBdr>
        </w:div>
        <w:div w:id="1207528619">
          <w:marLeft w:val="274"/>
          <w:marRight w:val="0"/>
          <w:marTop w:val="0"/>
          <w:marBottom w:val="0"/>
          <w:divBdr>
            <w:top w:val="none" w:sz="0" w:space="0" w:color="auto"/>
            <w:left w:val="none" w:sz="0" w:space="0" w:color="auto"/>
            <w:bottom w:val="none" w:sz="0" w:space="0" w:color="auto"/>
            <w:right w:val="none" w:sz="0" w:space="0" w:color="auto"/>
          </w:divBdr>
        </w:div>
        <w:div w:id="1818498635">
          <w:marLeft w:val="274"/>
          <w:marRight w:val="0"/>
          <w:marTop w:val="0"/>
          <w:marBottom w:val="0"/>
          <w:divBdr>
            <w:top w:val="none" w:sz="0" w:space="0" w:color="auto"/>
            <w:left w:val="none" w:sz="0" w:space="0" w:color="auto"/>
            <w:bottom w:val="none" w:sz="0" w:space="0" w:color="auto"/>
            <w:right w:val="none" w:sz="0" w:space="0" w:color="auto"/>
          </w:divBdr>
        </w:div>
      </w:divsChild>
    </w:div>
    <w:div w:id="1939681155">
      <w:bodyDiv w:val="1"/>
      <w:marLeft w:val="0"/>
      <w:marRight w:val="0"/>
      <w:marTop w:val="0"/>
      <w:marBottom w:val="0"/>
      <w:divBdr>
        <w:top w:val="none" w:sz="0" w:space="0" w:color="auto"/>
        <w:left w:val="none" w:sz="0" w:space="0" w:color="auto"/>
        <w:bottom w:val="none" w:sz="0" w:space="0" w:color="auto"/>
        <w:right w:val="none" w:sz="0" w:space="0" w:color="auto"/>
      </w:divBdr>
      <w:divsChild>
        <w:div w:id="794250389">
          <w:marLeft w:val="274"/>
          <w:marRight w:val="0"/>
          <w:marTop w:val="0"/>
          <w:marBottom w:val="0"/>
          <w:divBdr>
            <w:top w:val="none" w:sz="0" w:space="0" w:color="auto"/>
            <w:left w:val="none" w:sz="0" w:space="0" w:color="auto"/>
            <w:bottom w:val="none" w:sz="0" w:space="0" w:color="auto"/>
            <w:right w:val="none" w:sz="0" w:space="0" w:color="auto"/>
          </w:divBdr>
        </w:div>
        <w:div w:id="1434476096">
          <w:marLeft w:val="274"/>
          <w:marRight w:val="0"/>
          <w:marTop w:val="0"/>
          <w:marBottom w:val="0"/>
          <w:divBdr>
            <w:top w:val="none" w:sz="0" w:space="0" w:color="auto"/>
            <w:left w:val="none" w:sz="0" w:space="0" w:color="auto"/>
            <w:bottom w:val="none" w:sz="0" w:space="0" w:color="auto"/>
            <w:right w:val="none" w:sz="0" w:space="0" w:color="auto"/>
          </w:divBdr>
        </w:div>
        <w:div w:id="1804420248">
          <w:marLeft w:val="274"/>
          <w:marRight w:val="0"/>
          <w:marTop w:val="0"/>
          <w:marBottom w:val="0"/>
          <w:divBdr>
            <w:top w:val="none" w:sz="0" w:space="0" w:color="auto"/>
            <w:left w:val="none" w:sz="0" w:space="0" w:color="auto"/>
            <w:bottom w:val="none" w:sz="0" w:space="0" w:color="auto"/>
            <w:right w:val="none" w:sz="0" w:space="0" w:color="auto"/>
          </w:divBdr>
        </w:div>
        <w:div w:id="1841776454">
          <w:marLeft w:val="274"/>
          <w:marRight w:val="0"/>
          <w:marTop w:val="0"/>
          <w:marBottom w:val="0"/>
          <w:divBdr>
            <w:top w:val="none" w:sz="0" w:space="0" w:color="auto"/>
            <w:left w:val="none" w:sz="0" w:space="0" w:color="auto"/>
            <w:bottom w:val="none" w:sz="0" w:space="0" w:color="auto"/>
            <w:right w:val="none" w:sz="0" w:space="0" w:color="auto"/>
          </w:divBdr>
        </w:div>
        <w:div w:id="1859806932">
          <w:marLeft w:val="274"/>
          <w:marRight w:val="0"/>
          <w:marTop w:val="0"/>
          <w:marBottom w:val="0"/>
          <w:divBdr>
            <w:top w:val="none" w:sz="0" w:space="0" w:color="auto"/>
            <w:left w:val="none" w:sz="0" w:space="0" w:color="auto"/>
            <w:bottom w:val="none" w:sz="0" w:space="0" w:color="auto"/>
            <w:right w:val="none" w:sz="0" w:space="0" w:color="auto"/>
          </w:divBdr>
        </w:div>
      </w:divsChild>
    </w:div>
    <w:div w:id="2048793555">
      <w:bodyDiv w:val="1"/>
      <w:marLeft w:val="0"/>
      <w:marRight w:val="0"/>
      <w:marTop w:val="0"/>
      <w:marBottom w:val="0"/>
      <w:divBdr>
        <w:top w:val="none" w:sz="0" w:space="0" w:color="auto"/>
        <w:left w:val="none" w:sz="0" w:space="0" w:color="auto"/>
        <w:bottom w:val="none" w:sz="0" w:space="0" w:color="auto"/>
        <w:right w:val="none" w:sz="0" w:space="0" w:color="auto"/>
      </w:divBdr>
      <w:divsChild>
        <w:div w:id="1455096889">
          <w:marLeft w:val="274"/>
          <w:marRight w:val="0"/>
          <w:marTop w:val="0"/>
          <w:marBottom w:val="0"/>
          <w:divBdr>
            <w:top w:val="none" w:sz="0" w:space="0" w:color="auto"/>
            <w:left w:val="none" w:sz="0" w:space="0" w:color="auto"/>
            <w:bottom w:val="none" w:sz="0" w:space="0" w:color="auto"/>
            <w:right w:val="none" w:sz="0" w:space="0" w:color="auto"/>
          </w:divBdr>
        </w:div>
        <w:div w:id="1927306371">
          <w:marLeft w:val="274"/>
          <w:marRight w:val="0"/>
          <w:marTop w:val="0"/>
          <w:marBottom w:val="0"/>
          <w:divBdr>
            <w:top w:val="none" w:sz="0" w:space="0" w:color="auto"/>
            <w:left w:val="none" w:sz="0" w:space="0" w:color="auto"/>
            <w:bottom w:val="none" w:sz="0" w:space="0" w:color="auto"/>
            <w:right w:val="none" w:sz="0" w:space="0" w:color="auto"/>
          </w:divBdr>
        </w:div>
      </w:divsChild>
    </w:div>
    <w:div w:id="2086295225">
      <w:bodyDiv w:val="1"/>
      <w:marLeft w:val="0"/>
      <w:marRight w:val="0"/>
      <w:marTop w:val="0"/>
      <w:marBottom w:val="0"/>
      <w:divBdr>
        <w:top w:val="none" w:sz="0" w:space="0" w:color="auto"/>
        <w:left w:val="none" w:sz="0" w:space="0" w:color="auto"/>
        <w:bottom w:val="none" w:sz="0" w:space="0" w:color="auto"/>
        <w:right w:val="none" w:sz="0" w:space="0" w:color="auto"/>
      </w:divBdr>
    </w:div>
    <w:div w:id="2105570817">
      <w:bodyDiv w:val="1"/>
      <w:marLeft w:val="0"/>
      <w:marRight w:val="0"/>
      <w:marTop w:val="0"/>
      <w:marBottom w:val="0"/>
      <w:divBdr>
        <w:top w:val="none" w:sz="0" w:space="0" w:color="auto"/>
        <w:left w:val="none" w:sz="0" w:space="0" w:color="auto"/>
        <w:bottom w:val="none" w:sz="0" w:space="0" w:color="auto"/>
        <w:right w:val="none" w:sz="0" w:space="0" w:color="auto"/>
      </w:divBdr>
    </w:div>
    <w:div w:id="2121797528">
      <w:bodyDiv w:val="1"/>
      <w:marLeft w:val="0"/>
      <w:marRight w:val="0"/>
      <w:marTop w:val="0"/>
      <w:marBottom w:val="0"/>
      <w:divBdr>
        <w:top w:val="none" w:sz="0" w:space="0" w:color="auto"/>
        <w:left w:val="none" w:sz="0" w:space="0" w:color="auto"/>
        <w:bottom w:val="none" w:sz="0" w:space="0" w:color="auto"/>
        <w:right w:val="none" w:sz="0" w:space="0" w:color="auto"/>
      </w:divBdr>
      <w:divsChild>
        <w:div w:id="399182728">
          <w:marLeft w:val="274"/>
          <w:marRight w:val="0"/>
          <w:marTop w:val="0"/>
          <w:marBottom w:val="0"/>
          <w:divBdr>
            <w:top w:val="none" w:sz="0" w:space="0" w:color="auto"/>
            <w:left w:val="none" w:sz="0" w:space="0" w:color="auto"/>
            <w:bottom w:val="none" w:sz="0" w:space="0" w:color="auto"/>
            <w:right w:val="none" w:sz="0" w:space="0" w:color="auto"/>
          </w:divBdr>
        </w:div>
        <w:div w:id="1587692389">
          <w:marLeft w:val="274"/>
          <w:marRight w:val="0"/>
          <w:marTop w:val="0"/>
          <w:marBottom w:val="0"/>
          <w:divBdr>
            <w:top w:val="none" w:sz="0" w:space="0" w:color="auto"/>
            <w:left w:val="none" w:sz="0" w:space="0" w:color="auto"/>
            <w:bottom w:val="none" w:sz="0" w:space="0" w:color="auto"/>
            <w:right w:val="none" w:sz="0" w:space="0" w:color="auto"/>
          </w:divBdr>
        </w:div>
        <w:div w:id="1639410946">
          <w:marLeft w:val="274"/>
          <w:marRight w:val="0"/>
          <w:marTop w:val="0"/>
          <w:marBottom w:val="0"/>
          <w:divBdr>
            <w:top w:val="none" w:sz="0" w:space="0" w:color="auto"/>
            <w:left w:val="none" w:sz="0" w:space="0" w:color="auto"/>
            <w:bottom w:val="none" w:sz="0" w:space="0" w:color="auto"/>
            <w:right w:val="none" w:sz="0" w:space="0" w:color="auto"/>
          </w:divBdr>
        </w:div>
      </w:divsChild>
    </w:div>
    <w:div w:id="2142918870">
      <w:bodyDiv w:val="1"/>
      <w:marLeft w:val="0"/>
      <w:marRight w:val="0"/>
      <w:marTop w:val="0"/>
      <w:marBottom w:val="0"/>
      <w:divBdr>
        <w:top w:val="none" w:sz="0" w:space="0" w:color="auto"/>
        <w:left w:val="none" w:sz="0" w:space="0" w:color="auto"/>
        <w:bottom w:val="none" w:sz="0" w:space="0" w:color="auto"/>
        <w:right w:val="none" w:sz="0" w:space="0" w:color="auto"/>
      </w:divBdr>
    </w:div>
    <w:div w:id="2145346363">
      <w:bodyDiv w:val="1"/>
      <w:marLeft w:val="0"/>
      <w:marRight w:val="0"/>
      <w:marTop w:val="0"/>
      <w:marBottom w:val="0"/>
      <w:divBdr>
        <w:top w:val="none" w:sz="0" w:space="0" w:color="auto"/>
        <w:left w:val="none" w:sz="0" w:space="0" w:color="auto"/>
        <w:bottom w:val="none" w:sz="0" w:space="0" w:color="auto"/>
        <w:right w:val="none" w:sz="0" w:space="0" w:color="auto"/>
      </w:divBdr>
      <w:divsChild>
        <w:div w:id="34543991">
          <w:marLeft w:val="274"/>
          <w:marRight w:val="0"/>
          <w:marTop w:val="0"/>
          <w:marBottom w:val="0"/>
          <w:divBdr>
            <w:top w:val="none" w:sz="0" w:space="0" w:color="auto"/>
            <w:left w:val="none" w:sz="0" w:space="0" w:color="auto"/>
            <w:bottom w:val="none" w:sz="0" w:space="0" w:color="auto"/>
            <w:right w:val="none" w:sz="0" w:space="0" w:color="auto"/>
          </w:divBdr>
        </w:div>
        <w:div w:id="297607624">
          <w:marLeft w:val="274"/>
          <w:marRight w:val="0"/>
          <w:marTop w:val="0"/>
          <w:marBottom w:val="0"/>
          <w:divBdr>
            <w:top w:val="none" w:sz="0" w:space="0" w:color="auto"/>
            <w:left w:val="none" w:sz="0" w:space="0" w:color="auto"/>
            <w:bottom w:val="none" w:sz="0" w:space="0" w:color="auto"/>
            <w:right w:val="none" w:sz="0" w:space="0" w:color="auto"/>
          </w:divBdr>
        </w:div>
        <w:div w:id="348217030">
          <w:marLeft w:val="274"/>
          <w:marRight w:val="0"/>
          <w:marTop w:val="0"/>
          <w:marBottom w:val="0"/>
          <w:divBdr>
            <w:top w:val="none" w:sz="0" w:space="0" w:color="auto"/>
            <w:left w:val="none" w:sz="0" w:space="0" w:color="auto"/>
            <w:bottom w:val="none" w:sz="0" w:space="0" w:color="auto"/>
            <w:right w:val="none" w:sz="0" w:space="0" w:color="auto"/>
          </w:divBdr>
        </w:div>
        <w:div w:id="2022589336">
          <w:marLeft w:val="274"/>
          <w:marRight w:val="0"/>
          <w:marTop w:val="0"/>
          <w:marBottom w:val="0"/>
          <w:divBdr>
            <w:top w:val="none" w:sz="0" w:space="0" w:color="auto"/>
            <w:left w:val="none" w:sz="0" w:space="0" w:color="auto"/>
            <w:bottom w:val="none" w:sz="0" w:space="0" w:color="auto"/>
            <w:right w:val="none" w:sz="0" w:space="0" w:color="auto"/>
          </w:divBdr>
        </w:div>
        <w:div w:id="2100101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Comments xmlns="7aa357c0-56bb-4137-b2c2-328718bfdf3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23D04087BE1224A9134FC5362E7C04A" ma:contentTypeVersion="15" ma:contentTypeDescription="Create a new document." ma:contentTypeScope="" ma:versionID="c1daf246320663b14bd030484d6b57dc">
  <xsd:schema xmlns:xsd="http://www.w3.org/2001/XMLSchema" xmlns:xs="http://www.w3.org/2001/XMLSchema" xmlns:p="http://schemas.microsoft.com/office/2006/metadata/properties" xmlns:ns2="7aa357c0-56bb-4137-b2c2-328718bfdf33" xmlns:ns3="2926994e-bfbf-4466-8dc8-af87ba813004" targetNamespace="http://schemas.microsoft.com/office/2006/metadata/properties" ma:root="true" ma:fieldsID="6a1ca54ea80a3d9172b9faf88e36ee66" ns2:_="" ns3:_="">
    <xsd:import namespace="7aa357c0-56bb-4137-b2c2-328718bfdf33"/>
    <xsd:import namespace="2926994e-bfbf-4466-8dc8-af87ba8130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Comme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357c0-56bb-4137-b2c2-328718bfd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s" ma:index="20" nillable="true" ma:displayName="Comments" ma:format="Dropdown" ma:internalName="Comment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26994e-bfbf-4466-8dc8-af87ba8130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D89CD-4AC8-4339-B099-50DA7A3B3762}">
  <ds:schemaRefs>
    <ds:schemaRef ds:uri="http://schemas.openxmlformats.org/officeDocument/2006/bibliography"/>
  </ds:schemaRefs>
</ds:datastoreItem>
</file>

<file path=customXml/itemProps2.xml><?xml version="1.0" encoding="utf-8"?>
<ds:datastoreItem xmlns:ds="http://schemas.openxmlformats.org/officeDocument/2006/customXml" ds:itemID="{3A3A69A1-7212-458C-8C64-1BC54429D8E9}">
  <ds:schemaRefs>
    <ds:schemaRef ds:uri="http://schemas.microsoft.com/office/2006/metadata/properties"/>
    <ds:schemaRef ds:uri="http://schemas.microsoft.com/office/infopath/2007/PartnerControls"/>
    <ds:schemaRef ds:uri="7aa357c0-56bb-4137-b2c2-328718bfdf33"/>
  </ds:schemaRefs>
</ds:datastoreItem>
</file>

<file path=customXml/itemProps3.xml><?xml version="1.0" encoding="utf-8"?>
<ds:datastoreItem xmlns:ds="http://schemas.openxmlformats.org/officeDocument/2006/customXml" ds:itemID="{C53F79A8-214F-4315-BE83-86BE822AEF57}">
  <ds:schemaRefs>
    <ds:schemaRef ds:uri="http://schemas.microsoft.com/sharepoint/v3/contenttype/forms"/>
  </ds:schemaRefs>
</ds:datastoreItem>
</file>

<file path=customXml/itemProps4.xml><?xml version="1.0" encoding="utf-8"?>
<ds:datastoreItem xmlns:ds="http://schemas.openxmlformats.org/officeDocument/2006/customXml" ds:itemID="{2762DB0F-8597-4536-B15B-89D896A5B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357c0-56bb-4137-b2c2-328718bfdf33"/>
    <ds:schemaRef ds:uri="2926994e-bfbf-4466-8dc8-af87ba813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14</Pages>
  <Words>2729</Words>
  <Characters>16953</Characters>
  <Application>Microsoft Office Word</Application>
  <DocSecurity>0</DocSecurity>
  <Lines>481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Links>
    <vt:vector size="456" baseType="variant">
      <vt:variant>
        <vt:i4>3997821</vt:i4>
      </vt:variant>
      <vt:variant>
        <vt:i4>447</vt:i4>
      </vt:variant>
      <vt:variant>
        <vt:i4>0</vt:i4>
      </vt:variant>
      <vt:variant>
        <vt:i4>5</vt:i4>
      </vt:variant>
      <vt:variant>
        <vt:lpwstr>https://screening.sa.gov.au/types-of-check/</vt:lpwstr>
      </vt:variant>
      <vt:variant>
        <vt:lpwstr/>
      </vt:variant>
      <vt:variant>
        <vt:i4>7929983</vt:i4>
      </vt:variant>
      <vt:variant>
        <vt:i4>444</vt:i4>
      </vt:variant>
      <vt:variant>
        <vt:i4>0</vt:i4>
      </vt:variant>
      <vt:variant>
        <vt:i4>5</vt:i4>
      </vt:variant>
      <vt:variant>
        <vt:lpwstr>https://www.homeaffairs.gov.au/criminal-justice/files/national-identity-proofing-guidelines.pdf</vt:lpwstr>
      </vt:variant>
      <vt:variant>
        <vt:lpwstr/>
      </vt:variant>
      <vt:variant>
        <vt:i4>589853</vt:i4>
      </vt:variant>
      <vt:variant>
        <vt:i4>441</vt:i4>
      </vt:variant>
      <vt:variant>
        <vt:i4>0</vt:i4>
      </vt:variant>
      <vt:variant>
        <vt:i4>5</vt:i4>
      </vt:variant>
      <vt:variant>
        <vt:lpwstr>https://publicsector.sa.gov.au/policies-standards/public-sector-act-2009/</vt:lpwstr>
      </vt:variant>
      <vt:variant>
        <vt:lpwstr/>
      </vt:variant>
      <vt:variant>
        <vt:i4>1179704</vt:i4>
      </vt:variant>
      <vt:variant>
        <vt:i4>434</vt:i4>
      </vt:variant>
      <vt:variant>
        <vt:i4>0</vt:i4>
      </vt:variant>
      <vt:variant>
        <vt:i4>5</vt:i4>
      </vt:variant>
      <vt:variant>
        <vt:lpwstr/>
      </vt:variant>
      <vt:variant>
        <vt:lpwstr>_Toc90561556</vt:lpwstr>
      </vt:variant>
      <vt:variant>
        <vt:i4>1114168</vt:i4>
      </vt:variant>
      <vt:variant>
        <vt:i4>428</vt:i4>
      </vt:variant>
      <vt:variant>
        <vt:i4>0</vt:i4>
      </vt:variant>
      <vt:variant>
        <vt:i4>5</vt:i4>
      </vt:variant>
      <vt:variant>
        <vt:lpwstr/>
      </vt:variant>
      <vt:variant>
        <vt:lpwstr>_Toc90561555</vt:lpwstr>
      </vt:variant>
      <vt:variant>
        <vt:i4>1048632</vt:i4>
      </vt:variant>
      <vt:variant>
        <vt:i4>422</vt:i4>
      </vt:variant>
      <vt:variant>
        <vt:i4>0</vt:i4>
      </vt:variant>
      <vt:variant>
        <vt:i4>5</vt:i4>
      </vt:variant>
      <vt:variant>
        <vt:lpwstr/>
      </vt:variant>
      <vt:variant>
        <vt:lpwstr>_Toc90561554</vt:lpwstr>
      </vt:variant>
      <vt:variant>
        <vt:i4>1507384</vt:i4>
      </vt:variant>
      <vt:variant>
        <vt:i4>416</vt:i4>
      </vt:variant>
      <vt:variant>
        <vt:i4>0</vt:i4>
      </vt:variant>
      <vt:variant>
        <vt:i4>5</vt:i4>
      </vt:variant>
      <vt:variant>
        <vt:lpwstr/>
      </vt:variant>
      <vt:variant>
        <vt:lpwstr>_Toc90561553</vt:lpwstr>
      </vt:variant>
      <vt:variant>
        <vt:i4>1441848</vt:i4>
      </vt:variant>
      <vt:variant>
        <vt:i4>410</vt:i4>
      </vt:variant>
      <vt:variant>
        <vt:i4>0</vt:i4>
      </vt:variant>
      <vt:variant>
        <vt:i4>5</vt:i4>
      </vt:variant>
      <vt:variant>
        <vt:lpwstr/>
      </vt:variant>
      <vt:variant>
        <vt:lpwstr>_Toc90561552</vt:lpwstr>
      </vt:variant>
      <vt:variant>
        <vt:i4>1376312</vt:i4>
      </vt:variant>
      <vt:variant>
        <vt:i4>404</vt:i4>
      </vt:variant>
      <vt:variant>
        <vt:i4>0</vt:i4>
      </vt:variant>
      <vt:variant>
        <vt:i4>5</vt:i4>
      </vt:variant>
      <vt:variant>
        <vt:lpwstr/>
      </vt:variant>
      <vt:variant>
        <vt:lpwstr>_Toc90561551</vt:lpwstr>
      </vt:variant>
      <vt:variant>
        <vt:i4>1310776</vt:i4>
      </vt:variant>
      <vt:variant>
        <vt:i4>398</vt:i4>
      </vt:variant>
      <vt:variant>
        <vt:i4>0</vt:i4>
      </vt:variant>
      <vt:variant>
        <vt:i4>5</vt:i4>
      </vt:variant>
      <vt:variant>
        <vt:lpwstr/>
      </vt:variant>
      <vt:variant>
        <vt:lpwstr>_Toc90561550</vt:lpwstr>
      </vt:variant>
      <vt:variant>
        <vt:i4>1900601</vt:i4>
      </vt:variant>
      <vt:variant>
        <vt:i4>392</vt:i4>
      </vt:variant>
      <vt:variant>
        <vt:i4>0</vt:i4>
      </vt:variant>
      <vt:variant>
        <vt:i4>5</vt:i4>
      </vt:variant>
      <vt:variant>
        <vt:lpwstr/>
      </vt:variant>
      <vt:variant>
        <vt:lpwstr>_Toc90561549</vt:lpwstr>
      </vt:variant>
      <vt:variant>
        <vt:i4>1835065</vt:i4>
      </vt:variant>
      <vt:variant>
        <vt:i4>386</vt:i4>
      </vt:variant>
      <vt:variant>
        <vt:i4>0</vt:i4>
      </vt:variant>
      <vt:variant>
        <vt:i4>5</vt:i4>
      </vt:variant>
      <vt:variant>
        <vt:lpwstr/>
      </vt:variant>
      <vt:variant>
        <vt:lpwstr>_Toc90561548</vt:lpwstr>
      </vt:variant>
      <vt:variant>
        <vt:i4>1245241</vt:i4>
      </vt:variant>
      <vt:variant>
        <vt:i4>380</vt:i4>
      </vt:variant>
      <vt:variant>
        <vt:i4>0</vt:i4>
      </vt:variant>
      <vt:variant>
        <vt:i4>5</vt:i4>
      </vt:variant>
      <vt:variant>
        <vt:lpwstr/>
      </vt:variant>
      <vt:variant>
        <vt:lpwstr>_Toc90561547</vt:lpwstr>
      </vt:variant>
      <vt:variant>
        <vt:i4>1179705</vt:i4>
      </vt:variant>
      <vt:variant>
        <vt:i4>374</vt:i4>
      </vt:variant>
      <vt:variant>
        <vt:i4>0</vt:i4>
      </vt:variant>
      <vt:variant>
        <vt:i4>5</vt:i4>
      </vt:variant>
      <vt:variant>
        <vt:lpwstr/>
      </vt:variant>
      <vt:variant>
        <vt:lpwstr>_Toc90561546</vt:lpwstr>
      </vt:variant>
      <vt:variant>
        <vt:i4>1114169</vt:i4>
      </vt:variant>
      <vt:variant>
        <vt:i4>368</vt:i4>
      </vt:variant>
      <vt:variant>
        <vt:i4>0</vt:i4>
      </vt:variant>
      <vt:variant>
        <vt:i4>5</vt:i4>
      </vt:variant>
      <vt:variant>
        <vt:lpwstr/>
      </vt:variant>
      <vt:variant>
        <vt:lpwstr>_Toc90561545</vt:lpwstr>
      </vt:variant>
      <vt:variant>
        <vt:i4>1048633</vt:i4>
      </vt:variant>
      <vt:variant>
        <vt:i4>362</vt:i4>
      </vt:variant>
      <vt:variant>
        <vt:i4>0</vt:i4>
      </vt:variant>
      <vt:variant>
        <vt:i4>5</vt:i4>
      </vt:variant>
      <vt:variant>
        <vt:lpwstr/>
      </vt:variant>
      <vt:variant>
        <vt:lpwstr>_Toc90561544</vt:lpwstr>
      </vt:variant>
      <vt:variant>
        <vt:i4>1507385</vt:i4>
      </vt:variant>
      <vt:variant>
        <vt:i4>356</vt:i4>
      </vt:variant>
      <vt:variant>
        <vt:i4>0</vt:i4>
      </vt:variant>
      <vt:variant>
        <vt:i4>5</vt:i4>
      </vt:variant>
      <vt:variant>
        <vt:lpwstr/>
      </vt:variant>
      <vt:variant>
        <vt:lpwstr>_Toc90561543</vt:lpwstr>
      </vt:variant>
      <vt:variant>
        <vt:i4>1441849</vt:i4>
      </vt:variant>
      <vt:variant>
        <vt:i4>350</vt:i4>
      </vt:variant>
      <vt:variant>
        <vt:i4>0</vt:i4>
      </vt:variant>
      <vt:variant>
        <vt:i4>5</vt:i4>
      </vt:variant>
      <vt:variant>
        <vt:lpwstr/>
      </vt:variant>
      <vt:variant>
        <vt:lpwstr>_Toc90561542</vt:lpwstr>
      </vt:variant>
      <vt:variant>
        <vt:i4>1376313</vt:i4>
      </vt:variant>
      <vt:variant>
        <vt:i4>344</vt:i4>
      </vt:variant>
      <vt:variant>
        <vt:i4>0</vt:i4>
      </vt:variant>
      <vt:variant>
        <vt:i4>5</vt:i4>
      </vt:variant>
      <vt:variant>
        <vt:lpwstr/>
      </vt:variant>
      <vt:variant>
        <vt:lpwstr>_Toc90561541</vt:lpwstr>
      </vt:variant>
      <vt:variant>
        <vt:i4>1310777</vt:i4>
      </vt:variant>
      <vt:variant>
        <vt:i4>338</vt:i4>
      </vt:variant>
      <vt:variant>
        <vt:i4>0</vt:i4>
      </vt:variant>
      <vt:variant>
        <vt:i4>5</vt:i4>
      </vt:variant>
      <vt:variant>
        <vt:lpwstr/>
      </vt:variant>
      <vt:variant>
        <vt:lpwstr>_Toc90561540</vt:lpwstr>
      </vt:variant>
      <vt:variant>
        <vt:i4>1900606</vt:i4>
      </vt:variant>
      <vt:variant>
        <vt:i4>332</vt:i4>
      </vt:variant>
      <vt:variant>
        <vt:i4>0</vt:i4>
      </vt:variant>
      <vt:variant>
        <vt:i4>5</vt:i4>
      </vt:variant>
      <vt:variant>
        <vt:lpwstr/>
      </vt:variant>
      <vt:variant>
        <vt:lpwstr>_Toc90561539</vt:lpwstr>
      </vt:variant>
      <vt:variant>
        <vt:i4>1835070</vt:i4>
      </vt:variant>
      <vt:variant>
        <vt:i4>326</vt:i4>
      </vt:variant>
      <vt:variant>
        <vt:i4>0</vt:i4>
      </vt:variant>
      <vt:variant>
        <vt:i4>5</vt:i4>
      </vt:variant>
      <vt:variant>
        <vt:lpwstr/>
      </vt:variant>
      <vt:variant>
        <vt:lpwstr>_Toc90561538</vt:lpwstr>
      </vt:variant>
      <vt:variant>
        <vt:i4>1245246</vt:i4>
      </vt:variant>
      <vt:variant>
        <vt:i4>320</vt:i4>
      </vt:variant>
      <vt:variant>
        <vt:i4>0</vt:i4>
      </vt:variant>
      <vt:variant>
        <vt:i4>5</vt:i4>
      </vt:variant>
      <vt:variant>
        <vt:lpwstr/>
      </vt:variant>
      <vt:variant>
        <vt:lpwstr>_Toc90561537</vt:lpwstr>
      </vt:variant>
      <vt:variant>
        <vt:i4>1179710</vt:i4>
      </vt:variant>
      <vt:variant>
        <vt:i4>314</vt:i4>
      </vt:variant>
      <vt:variant>
        <vt:i4>0</vt:i4>
      </vt:variant>
      <vt:variant>
        <vt:i4>5</vt:i4>
      </vt:variant>
      <vt:variant>
        <vt:lpwstr/>
      </vt:variant>
      <vt:variant>
        <vt:lpwstr>_Toc90561536</vt:lpwstr>
      </vt:variant>
      <vt:variant>
        <vt:i4>1114174</vt:i4>
      </vt:variant>
      <vt:variant>
        <vt:i4>308</vt:i4>
      </vt:variant>
      <vt:variant>
        <vt:i4>0</vt:i4>
      </vt:variant>
      <vt:variant>
        <vt:i4>5</vt:i4>
      </vt:variant>
      <vt:variant>
        <vt:lpwstr/>
      </vt:variant>
      <vt:variant>
        <vt:lpwstr>_Toc90561535</vt:lpwstr>
      </vt:variant>
      <vt:variant>
        <vt:i4>1048638</vt:i4>
      </vt:variant>
      <vt:variant>
        <vt:i4>302</vt:i4>
      </vt:variant>
      <vt:variant>
        <vt:i4>0</vt:i4>
      </vt:variant>
      <vt:variant>
        <vt:i4>5</vt:i4>
      </vt:variant>
      <vt:variant>
        <vt:lpwstr/>
      </vt:variant>
      <vt:variant>
        <vt:lpwstr>_Toc90561534</vt:lpwstr>
      </vt:variant>
      <vt:variant>
        <vt:i4>1507390</vt:i4>
      </vt:variant>
      <vt:variant>
        <vt:i4>296</vt:i4>
      </vt:variant>
      <vt:variant>
        <vt:i4>0</vt:i4>
      </vt:variant>
      <vt:variant>
        <vt:i4>5</vt:i4>
      </vt:variant>
      <vt:variant>
        <vt:lpwstr/>
      </vt:variant>
      <vt:variant>
        <vt:lpwstr>_Toc90561533</vt:lpwstr>
      </vt:variant>
      <vt:variant>
        <vt:i4>1441854</vt:i4>
      </vt:variant>
      <vt:variant>
        <vt:i4>290</vt:i4>
      </vt:variant>
      <vt:variant>
        <vt:i4>0</vt:i4>
      </vt:variant>
      <vt:variant>
        <vt:i4>5</vt:i4>
      </vt:variant>
      <vt:variant>
        <vt:lpwstr/>
      </vt:variant>
      <vt:variant>
        <vt:lpwstr>_Toc90561532</vt:lpwstr>
      </vt:variant>
      <vt:variant>
        <vt:i4>1376318</vt:i4>
      </vt:variant>
      <vt:variant>
        <vt:i4>284</vt:i4>
      </vt:variant>
      <vt:variant>
        <vt:i4>0</vt:i4>
      </vt:variant>
      <vt:variant>
        <vt:i4>5</vt:i4>
      </vt:variant>
      <vt:variant>
        <vt:lpwstr/>
      </vt:variant>
      <vt:variant>
        <vt:lpwstr>_Toc90561531</vt:lpwstr>
      </vt:variant>
      <vt:variant>
        <vt:i4>1310782</vt:i4>
      </vt:variant>
      <vt:variant>
        <vt:i4>278</vt:i4>
      </vt:variant>
      <vt:variant>
        <vt:i4>0</vt:i4>
      </vt:variant>
      <vt:variant>
        <vt:i4>5</vt:i4>
      </vt:variant>
      <vt:variant>
        <vt:lpwstr/>
      </vt:variant>
      <vt:variant>
        <vt:lpwstr>_Toc90561530</vt:lpwstr>
      </vt:variant>
      <vt:variant>
        <vt:i4>1900607</vt:i4>
      </vt:variant>
      <vt:variant>
        <vt:i4>272</vt:i4>
      </vt:variant>
      <vt:variant>
        <vt:i4>0</vt:i4>
      </vt:variant>
      <vt:variant>
        <vt:i4>5</vt:i4>
      </vt:variant>
      <vt:variant>
        <vt:lpwstr/>
      </vt:variant>
      <vt:variant>
        <vt:lpwstr>_Toc90561529</vt:lpwstr>
      </vt:variant>
      <vt:variant>
        <vt:i4>1835071</vt:i4>
      </vt:variant>
      <vt:variant>
        <vt:i4>266</vt:i4>
      </vt:variant>
      <vt:variant>
        <vt:i4>0</vt:i4>
      </vt:variant>
      <vt:variant>
        <vt:i4>5</vt:i4>
      </vt:variant>
      <vt:variant>
        <vt:lpwstr/>
      </vt:variant>
      <vt:variant>
        <vt:lpwstr>_Toc90561528</vt:lpwstr>
      </vt:variant>
      <vt:variant>
        <vt:i4>1245247</vt:i4>
      </vt:variant>
      <vt:variant>
        <vt:i4>260</vt:i4>
      </vt:variant>
      <vt:variant>
        <vt:i4>0</vt:i4>
      </vt:variant>
      <vt:variant>
        <vt:i4>5</vt:i4>
      </vt:variant>
      <vt:variant>
        <vt:lpwstr/>
      </vt:variant>
      <vt:variant>
        <vt:lpwstr>_Toc90561527</vt:lpwstr>
      </vt:variant>
      <vt:variant>
        <vt:i4>1179711</vt:i4>
      </vt:variant>
      <vt:variant>
        <vt:i4>254</vt:i4>
      </vt:variant>
      <vt:variant>
        <vt:i4>0</vt:i4>
      </vt:variant>
      <vt:variant>
        <vt:i4>5</vt:i4>
      </vt:variant>
      <vt:variant>
        <vt:lpwstr/>
      </vt:variant>
      <vt:variant>
        <vt:lpwstr>_Toc90561526</vt:lpwstr>
      </vt:variant>
      <vt:variant>
        <vt:i4>1114175</vt:i4>
      </vt:variant>
      <vt:variant>
        <vt:i4>248</vt:i4>
      </vt:variant>
      <vt:variant>
        <vt:i4>0</vt:i4>
      </vt:variant>
      <vt:variant>
        <vt:i4>5</vt:i4>
      </vt:variant>
      <vt:variant>
        <vt:lpwstr/>
      </vt:variant>
      <vt:variant>
        <vt:lpwstr>_Toc90561525</vt:lpwstr>
      </vt:variant>
      <vt:variant>
        <vt:i4>1048639</vt:i4>
      </vt:variant>
      <vt:variant>
        <vt:i4>242</vt:i4>
      </vt:variant>
      <vt:variant>
        <vt:i4>0</vt:i4>
      </vt:variant>
      <vt:variant>
        <vt:i4>5</vt:i4>
      </vt:variant>
      <vt:variant>
        <vt:lpwstr/>
      </vt:variant>
      <vt:variant>
        <vt:lpwstr>_Toc90561524</vt:lpwstr>
      </vt:variant>
      <vt:variant>
        <vt:i4>1507391</vt:i4>
      </vt:variant>
      <vt:variant>
        <vt:i4>236</vt:i4>
      </vt:variant>
      <vt:variant>
        <vt:i4>0</vt:i4>
      </vt:variant>
      <vt:variant>
        <vt:i4>5</vt:i4>
      </vt:variant>
      <vt:variant>
        <vt:lpwstr/>
      </vt:variant>
      <vt:variant>
        <vt:lpwstr>_Toc90561523</vt:lpwstr>
      </vt:variant>
      <vt:variant>
        <vt:i4>1441855</vt:i4>
      </vt:variant>
      <vt:variant>
        <vt:i4>230</vt:i4>
      </vt:variant>
      <vt:variant>
        <vt:i4>0</vt:i4>
      </vt:variant>
      <vt:variant>
        <vt:i4>5</vt:i4>
      </vt:variant>
      <vt:variant>
        <vt:lpwstr/>
      </vt:variant>
      <vt:variant>
        <vt:lpwstr>_Toc90561522</vt:lpwstr>
      </vt:variant>
      <vt:variant>
        <vt:i4>1376319</vt:i4>
      </vt:variant>
      <vt:variant>
        <vt:i4>224</vt:i4>
      </vt:variant>
      <vt:variant>
        <vt:i4>0</vt:i4>
      </vt:variant>
      <vt:variant>
        <vt:i4>5</vt:i4>
      </vt:variant>
      <vt:variant>
        <vt:lpwstr/>
      </vt:variant>
      <vt:variant>
        <vt:lpwstr>_Toc90561521</vt:lpwstr>
      </vt:variant>
      <vt:variant>
        <vt:i4>1310783</vt:i4>
      </vt:variant>
      <vt:variant>
        <vt:i4>218</vt:i4>
      </vt:variant>
      <vt:variant>
        <vt:i4>0</vt:i4>
      </vt:variant>
      <vt:variant>
        <vt:i4>5</vt:i4>
      </vt:variant>
      <vt:variant>
        <vt:lpwstr/>
      </vt:variant>
      <vt:variant>
        <vt:lpwstr>_Toc90561520</vt:lpwstr>
      </vt:variant>
      <vt:variant>
        <vt:i4>1900604</vt:i4>
      </vt:variant>
      <vt:variant>
        <vt:i4>212</vt:i4>
      </vt:variant>
      <vt:variant>
        <vt:i4>0</vt:i4>
      </vt:variant>
      <vt:variant>
        <vt:i4>5</vt:i4>
      </vt:variant>
      <vt:variant>
        <vt:lpwstr/>
      </vt:variant>
      <vt:variant>
        <vt:lpwstr>_Toc90561519</vt:lpwstr>
      </vt:variant>
      <vt:variant>
        <vt:i4>1835068</vt:i4>
      </vt:variant>
      <vt:variant>
        <vt:i4>206</vt:i4>
      </vt:variant>
      <vt:variant>
        <vt:i4>0</vt:i4>
      </vt:variant>
      <vt:variant>
        <vt:i4>5</vt:i4>
      </vt:variant>
      <vt:variant>
        <vt:lpwstr/>
      </vt:variant>
      <vt:variant>
        <vt:lpwstr>_Toc90561518</vt:lpwstr>
      </vt:variant>
      <vt:variant>
        <vt:i4>1245244</vt:i4>
      </vt:variant>
      <vt:variant>
        <vt:i4>200</vt:i4>
      </vt:variant>
      <vt:variant>
        <vt:i4>0</vt:i4>
      </vt:variant>
      <vt:variant>
        <vt:i4>5</vt:i4>
      </vt:variant>
      <vt:variant>
        <vt:lpwstr/>
      </vt:variant>
      <vt:variant>
        <vt:lpwstr>_Toc90561517</vt:lpwstr>
      </vt:variant>
      <vt:variant>
        <vt:i4>1179708</vt:i4>
      </vt:variant>
      <vt:variant>
        <vt:i4>194</vt:i4>
      </vt:variant>
      <vt:variant>
        <vt:i4>0</vt:i4>
      </vt:variant>
      <vt:variant>
        <vt:i4>5</vt:i4>
      </vt:variant>
      <vt:variant>
        <vt:lpwstr/>
      </vt:variant>
      <vt:variant>
        <vt:lpwstr>_Toc90561516</vt:lpwstr>
      </vt:variant>
      <vt:variant>
        <vt:i4>1114172</vt:i4>
      </vt:variant>
      <vt:variant>
        <vt:i4>188</vt:i4>
      </vt:variant>
      <vt:variant>
        <vt:i4>0</vt:i4>
      </vt:variant>
      <vt:variant>
        <vt:i4>5</vt:i4>
      </vt:variant>
      <vt:variant>
        <vt:lpwstr/>
      </vt:variant>
      <vt:variant>
        <vt:lpwstr>_Toc90561515</vt:lpwstr>
      </vt:variant>
      <vt:variant>
        <vt:i4>1048636</vt:i4>
      </vt:variant>
      <vt:variant>
        <vt:i4>182</vt:i4>
      </vt:variant>
      <vt:variant>
        <vt:i4>0</vt:i4>
      </vt:variant>
      <vt:variant>
        <vt:i4>5</vt:i4>
      </vt:variant>
      <vt:variant>
        <vt:lpwstr/>
      </vt:variant>
      <vt:variant>
        <vt:lpwstr>_Toc90561514</vt:lpwstr>
      </vt:variant>
      <vt:variant>
        <vt:i4>1507388</vt:i4>
      </vt:variant>
      <vt:variant>
        <vt:i4>176</vt:i4>
      </vt:variant>
      <vt:variant>
        <vt:i4>0</vt:i4>
      </vt:variant>
      <vt:variant>
        <vt:i4>5</vt:i4>
      </vt:variant>
      <vt:variant>
        <vt:lpwstr/>
      </vt:variant>
      <vt:variant>
        <vt:lpwstr>_Toc90561513</vt:lpwstr>
      </vt:variant>
      <vt:variant>
        <vt:i4>1441852</vt:i4>
      </vt:variant>
      <vt:variant>
        <vt:i4>170</vt:i4>
      </vt:variant>
      <vt:variant>
        <vt:i4>0</vt:i4>
      </vt:variant>
      <vt:variant>
        <vt:i4>5</vt:i4>
      </vt:variant>
      <vt:variant>
        <vt:lpwstr/>
      </vt:variant>
      <vt:variant>
        <vt:lpwstr>_Toc90561512</vt:lpwstr>
      </vt:variant>
      <vt:variant>
        <vt:i4>1376316</vt:i4>
      </vt:variant>
      <vt:variant>
        <vt:i4>164</vt:i4>
      </vt:variant>
      <vt:variant>
        <vt:i4>0</vt:i4>
      </vt:variant>
      <vt:variant>
        <vt:i4>5</vt:i4>
      </vt:variant>
      <vt:variant>
        <vt:lpwstr/>
      </vt:variant>
      <vt:variant>
        <vt:lpwstr>_Toc90561511</vt:lpwstr>
      </vt:variant>
      <vt:variant>
        <vt:i4>1310780</vt:i4>
      </vt:variant>
      <vt:variant>
        <vt:i4>158</vt:i4>
      </vt:variant>
      <vt:variant>
        <vt:i4>0</vt:i4>
      </vt:variant>
      <vt:variant>
        <vt:i4>5</vt:i4>
      </vt:variant>
      <vt:variant>
        <vt:lpwstr/>
      </vt:variant>
      <vt:variant>
        <vt:lpwstr>_Toc90561510</vt:lpwstr>
      </vt:variant>
      <vt:variant>
        <vt:i4>1900605</vt:i4>
      </vt:variant>
      <vt:variant>
        <vt:i4>152</vt:i4>
      </vt:variant>
      <vt:variant>
        <vt:i4>0</vt:i4>
      </vt:variant>
      <vt:variant>
        <vt:i4>5</vt:i4>
      </vt:variant>
      <vt:variant>
        <vt:lpwstr/>
      </vt:variant>
      <vt:variant>
        <vt:lpwstr>_Toc90561509</vt:lpwstr>
      </vt:variant>
      <vt:variant>
        <vt:i4>1835069</vt:i4>
      </vt:variant>
      <vt:variant>
        <vt:i4>146</vt:i4>
      </vt:variant>
      <vt:variant>
        <vt:i4>0</vt:i4>
      </vt:variant>
      <vt:variant>
        <vt:i4>5</vt:i4>
      </vt:variant>
      <vt:variant>
        <vt:lpwstr/>
      </vt:variant>
      <vt:variant>
        <vt:lpwstr>_Toc90561508</vt:lpwstr>
      </vt:variant>
      <vt:variant>
        <vt:i4>1245245</vt:i4>
      </vt:variant>
      <vt:variant>
        <vt:i4>140</vt:i4>
      </vt:variant>
      <vt:variant>
        <vt:i4>0</vt:i4>
      </vt:variant>
      <vt:variant>
        <vt:i4>5</vt:i4>
      </vt:variant>
      <vt:variant>
        <vt:lpwstr/>
      </vt:variant>
      <vt:variant>
        <vt:lpwstr>_Toc90561507</vt:lpwstr>
      </vt:variant>
      <vt:variant>
        <vt:i4>1179709</vt:i4>
      </vt:variant>
      <vt:variant>
        <vt:i4>134</vt:i4>
      </vt:variant>
      <vt:variant>
        <vt:i4>0</vt:i4>
      </vt:variant>
      <vt:variant>
        <vt:i4>5</vt:i4>
      </vt:variant>
      <vt:variant>
        <vt:lpwstr/>
      </vt:variant>
      <vt:variant>
        <vt:lpwstr>_Toc90561506</vt:lpwstr>
      </vt:variant>
      <vt:variant>
        <vt:i4>1114173</vt:i4>
      </vt:variant>
      <vt:variant>
        <vt:i4>128</vt:i4>
      </vt:variant>
      <vt:variant>
        <vt:i4>0</vt:i4>
      </vt:variant>
      <vt:variant>
        <vt:i4>5</vt:i4>
      </vt:variant>
      <vt:variant>
        <vt:lpwstr/>
      </vt:variant>
      <vt:variant>
        <vt:lpwstr>_Toc90561505</vt:lpwstr>
      </vt:variant>
      <vt:variant>
        <vt:i4>1048637</vt:i4>
      </vt:variant>
      <vt:variant>
        <vt:i4>122</vt:i4>
      </vt:variant>
      <vt:variant>
        <vt:i4>0</vt:i4>
      </vt:variant>
      <vt:variant>
        <vt:i4>5</vt:i4>
      </vt:variant>
      <vt:variant>
        <vt:lpwstr/>
      </vt:variant>
      <vt:variant>
        <vt:lpwstr>_Toc90561504</vt:lpwstr>
      </vt:variant>
      <vt:variant>
        <vt:i4>1507389</vt:i4>
      </vt:variant>
      <vt:variant>
        <vt:i4>116</vt:i4>
      </vt:variant>
      <vt:variant>
        <vt:i4>0</vt:i4>
      </vt:variant>
      <vt:variant>
        <vt:i4>5</vt:i4>
      </vt:variant>
      <vt:variant>
        <vt:lpwstr/>
      </vt:variant>
      <vt:variant>
        <vt:lpwstr>_Toc90561503</vt:lpwstr>
      </vt:variant>
      <vt:variant>
        <vt:i4>1441853</vt:i4>
      </vt:variant>
      <vt:variant>
        <vt:i4>110</vt:i4>
      </vt:variant>
      <vt:variant>
        <vt:i4>0</vt:i4>
      </vt:variant>
      <vt:variant>
        <vt:i4>5</vt:i4>
      </vt:variant>
      <vt:variant>
        <vt:lpwstr/>
      </vt:variant>
      <vt:variant>
        <vt:lpwstr>_Toc90561502</vt:lpwstr>
      </vt:variant>
      <vt:variant>
        <vt:i4>1376317</vt:i4>
      </vt:variant>
      <vt:variant>
        <vt:i4>104</vt:i4>
      </vt:variant>
      <vt:variant>
        <vt:i4>0</vt:i4>
      </vt:variant>
      <vt:variant>
        <vt:i4>5</vt:i4>
      </vt:variant>
      <vt:variant>
        <vt:lpwstr/>
      </vt:variant>
      <vt:variant>
        <vt:lpwstr>_Toc90561501</vt:lpwstr>
      </vt:variant>
      <vt:variant>
        <vt:i4>1310781</vt:i4>
      </vt:variant>
      <vt:variant>
        <vt:i4>98</vt:i4>
      </vt:variant>
      <vt:variant>
        <vt:i4>0</vt:i4>
      </vt:variant>
      <vt:variant>
        <vt:i4>5</vt:i4>
      </vt:variant>
      <vt:variant>
        <vt:lpwstr/>
      </vt:variant>
      <vt:variant>
        <vt:lpwstr>_Toc90561500</vt:lpwstr>
      </vt:variant>
      <vt:variant>
        <vt:i4>1835060</vt:i4>
      </vt:variant>
      <vt:variant>
        <vt:i4>92</vt:i4>
      </vt:variant>
      <vt:variant>
        <vt:i4>0</vt:i4>
      </vt:variant>
      <vt:variant>
        <vt:i4>5</vt:i4>
      </vt:variant>
      <vt:variant>
        <vt:lpwstr/>
      </vt:variant>
      <vt:variant>
        <vt:lpwstr>_Toc90561499</vt:lpwstr>
      </vt:variant>
      <vt:variant>
        <vt:i4>1900596</vt:i4>
      </vt:variant>
      <vt:variant>
        <vt:i4>86</vt:i4>
      </vt:variant>
      <vt:variant>
        <vt:i4>0</vt:i4>
      </vt:variant>
      <vt:variant>
        <vt:i4>5</vt:i4>
      </vt:variant>
      <vt:variant>
        <vt:lpwstr/>
      </vt:variant>
      <vt:variant>
        <vt:lpwstr>_Toc90561498</vt:lpwstr>
      </vt:variant>
      <vt:variant>
        <vt:i4>1179700</vt:i4>
      </vt:variant>
      <vt:variant>
        <vt:i4>80</vt:i4>
      </vt:variant>
      <vt:variant>
        <vt:i4>0</vt:i4>
      </vt:variant>
      <vt:variant>
        <vt:i4>5</vt:i4>
      </vt:variant>
      <vt:variant>
        <vt:lpwstr/>
      </vt:variant>
      <vt:variant>
        <vt:lpwstr>_Toc90561497</vt:lpwstr>
      </vt:variant>
      <vt:variant>
        <vt:i4>1245236</vt:i4>
      </vt:variant>
      <vt:variant>
        <vt:i4>74</vt:i4>
      </vt:variant>
      <vt:variant>
        <vt:i4>0</vt:i4>
      </vt:variant>
      <vt:variant>
        <vt:i4>5</vt:i4>
      </vt:variant>
      <vt:variant>
        <vt:lpwstr/>
      </vt:variant>
      <vt:variant>
        <vt:lpwstr>_Toc90561496</vt:lpwstr>
      </vt:variant>
      <vt:variant>
        <vt:i4>1048628</vt:i4>
      </vt:variant>
      <vt:variant>
        <vt:i4>68</vt:i4>
      </vt:variant>
      <vt:variant>
        <vt:i4>0</vt:i4>
      </vt:variant>
      <vt:variant>
        <vt:i4>5</vt:i4>
      </vt:variant>
      <vt:variant>
        <vt:lpwstr/>
      </vt:variant>
      <vt:variant>
        <vt:lpwstr>_Toc90561495</vt:lpwstr>
      </vt:variant>
      <vt:variant>
        <vt:i4>1114164</vt:i4>
      </vt:variant>
      <vt:variant>
        <vt:i4>62</vt:i4>
      </vt:variant>
      <vt:variant>
        <vt:i4>0</vt:i4>
      </vt:variant>
      <vt:variant>
        <vt:i4>5</vt:i4>
      </vt:variant>
      <vt:variant>
        <vt:lpwstr/>
      </vt:variant>
      <vt:variant>
        <vt:lpwstr>_Toc90561494</vt:lpwstr>
      </vt:variant>
      <vt:variant>
        <vt:i4>1441844</vt:i4>
      </vt:variant>
      <vt:variant>
        <vt:i4>56</vt:i4>
      </vt:variant>
      <vt:variant>
        <vt:i4>0</vt:i4>
      </vt:variant>
      <vt:variant>
        <vt:i4>5</vt:i4>
      </vt:variant>
      <vt:variant>
        <vt:lpwstr/>
      </vt:variant>
      <vt:variant>
        <vt:lpwstr>_Toc90561493</vt:lpwstr>
      </vt:variant>
      <vt:variant>
        <vt:i4>1507380</vt:i4>
      </vt:variant>
      <vt:variant>
        <vt:i4>50</vt:i4>
      </vt:variant>
      <vt:variant>
        <vt:i4>0</vt:i4>
      </vt:variant>
      <vt:variant>
        <vt:i4>5</vt:i4>
      </vt:variant>
      <vt:variant>
        <vt:lpwstr/>
      </vt:variant>
      <vt:variant>
        <vt:lpwstr>_Toc90561492</vt:lpwstr>
      </vt:variant>
      <vt:variant>
        <vt:i4>1310772</vt:i4>
      </vt:variant>
      <vt:variant>
        <vt:i4>44</vt:i4>
      </vt:variant>
      <vt:variant>
        <vt:i4>0</vt:i4>
      </vt:variant>
      <vt:variant>
        <vt:i4>5</vt:i4>
      </vt:variant>
      <vt:variant>
        <vt:lpwstr/>
      </vt:variant>
      <vt:variant>
        <vt:lpwstr>_Toc90561491</vt:lpwstr>
      </vt:variant>
      <vt:variant>
        <vt:i4>1376308</vt:i4>
      </vt:variant>
      <vt:variant>
        <vt:i4>38</vt:i4>
      </vt:variant>
      <vt:variant>
        <vt:i4>0</vt:i4>
      </vt:variant>
      <vt:variant>
        <vt:i4>5</vt:i4>
      </vt:variant>
      <vt:variant>
        <vt:lpwstr/>
      </vt:variant>
      <vt:variant>
        <vt:lpwstr>_Toc90561490</vt:lpwstr>
      </vt:variant>
      <vt:variant>
        <vt:i4>1835061</vt:i4>
      </vt:variant>
      <vt:variant>
        <vt:i4>32</vt:i4>
      </vt:variant>
      <vt:variant>
        <vt:i4>0</vt:i4>
      </vt:variant>
      <vt:variant>
        <vt:i4>5</vt:i4>
      </vt:variant>
      <vt:variant>
        <vt:lpwstr/>
      </vt:variant>
      <vt:variant>
        <vt:lpwstr>_Toc90561489</vt:lpwstr>
      </vt:variant>
      <vt:variant>
        <vt:i4>1900597</vt:i4>
      </vt:variant>
      <vt:variant>
        <vt:i4>26</vt:i4>
      </vt:variant>
      <vt:variant>
        <vt:i4>0</vt:i4>
      </vt:variant>
      <vt:variant>
        <vt:i4>5</vt:i4>
      </vt:variant>
      <vt:variant>
        <vt:lpwstr/>
      </vt:variant>
      <vt:variant>
        <vt:lpwstr>_Toc90561488</vt:lpwstr>
      </vt:variant>
      <vt:variant>
        <vt:i4>1179701</vt:i4>
      </vt:variant>
      <vt:variant>
        <vt:i4>20</vt:i4>
      </vt:variant>
      <vt:variant>
        <vt:i4>0</vt:i4>
      </vt:variant>
      <vt:variant>
        <vt:i4>5</vt:i4>
      </vt:variant>
      <vt:variant>
        <vt:lpwstr/>
      </vt:variant>
      <vt:variant>
        <vt:lpwstr>_Toc90561487</vt:lpwstr>
      </vt:variant>
      <vt:variant>
        <vt:i4>1245237</vt:i4>
      </vt:variant>
      <vt:variant>
        <vt:i4>14</vt:i4>
      </vt:variant>
      <vt:variant>
        <vt:i4>0</vt:i4>
      </vt:variant>
      <vt:variant>
        <vt:i4>5</vt:i4>
      </vt:variant>
      <vt:variant>
        <vt:lpwstr/>
      </vt:variant>
      <vt:variant>
        <vt:lpwstr>_Toc90561486</vt:lpwstr>
      </vt:variant>
      <vt:variant>
        <vt:i4>1048629</vt:i4>
      </vt:variant>
      <vt:variant>
        <vt:i4>8</vt:i4>
      </vt:variant>
      <vt:variant>
        <vt:i4>0</vt:i4>
      </vt:variant>
      <vt:variant>
        <vt:i4>5</vt:i4>
      </vt:variant>
      <vt:variant>
        <vt:lpwstr/>
      </vt:variant>
      <vt:variant>
        <vt:lpwstr>_Toc90561485</vt:lpwstr>
      </vt:variant>
      <vt:variant>
        <vt:i4>1114165</vt:i4>
      </vt:variant>
      <vt:variant>
        <vt:i4>2</vt:i4>
      </vt:variant>
      <vt:variant>
        <vt:i4>0</vt:i4>
      </vt:variant>
      <vt:variant>
        <vt:i4>5</vt:i4>
      </vt:variant>
      <vt:variant>
        <vt:lpwstr/>
      </vt:variant>
      <vt:variant>
        <vt:lpwstr>_Toc90561484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Nalepa</dc:creator>
  <cp:keywords/>
  <dc:description/>
  <cp:lastModifiedBy>Mathilde Thorsen</cp:lastModifiedBy>
  <cp:revision>76</cp:revision>
  <cp:lastPrinted>2022-04-26T04:24:00Z</cp:lastPrinted>
  <dcterms:created xsi:type="dcterms:W3CDTF">2022-02-07T01:16:00Z</dcterms:created>
  <dcterms:modified xsi:type="dcterms:W3CDTF">2022-04-26T04:24:00Z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0x010100023D04087BE1224A9134FC5362E7C04A</vt:lpwstr>
  </property>
  <property fmtid="{D5CDD505-2E9C-101B-9397-08002B2CF9AE}" pid="3" name="MSIP_Label_7869ce3b-ea31-4750-ac1a-51486fca9dd5_Enabled">
    <vt:lpwstr>true</vt:lpwstr>
  </property>
  <property fmtid="{D5CDD505-2E9C-101B-9397-08002B2CF9AE}" pid="4" name="MSIP_Label_7869ce3b-ea31-4750-ac1a-51486fca9dd5_SetDate">
    <vt:lpwstr>2022-02-02T20:31:57Z</vt:lpwstr>
  </property>
  <property fmtid="{D5CDD505-2E9C-101B-9397-08002B2CF9AE}" pid="5" name="MSIP_Label_7869ce3b-ea31-4750-ac1a-51486fca9dd5_Method">
    <vt:lpwstr>Privileged</vt:lpwstr>
  </property>
  <property fmtid="{D5CDD505-2E9C-101B-9397-08002B2CF9AE}" pid="6" name="MSIP_Label_7869ce3b-ea31-4750-ac1a-51486fca9dd5_Name">
    <vt:lpwstr>SENSITIVE (UNMARKED)</vt:lpwstr>
  </property>
  <property fmtid="{D5CDD505-2E9C-101B-9397-08002B2CF9AE}" pid="7" name="MSIP_Label_7869ce3b-ea31-4750-ac1a-51486fca9dd5_SiteId">
    <vt:lpwstr>d7a0631f-6d03-435f-a80e-764129e5d298</vt:lpwstr>
  </property>
  <property fmtid="{D5CDD505-2E9C-101B-9397-08002B2CF9AE}" pid="8" name="MSIP_Label_7869ce3b-ea31-4750-ac1a-51486fca9dd5_ActionId">
    <vt:lpwstr>f36ff8c0-5249-4859-857a-ba41019363ea</vt:lpwstr>
  </property>
  <property fmtid="{D5CDD505-2E9C-101B-9397-08002B2CF9AE}" pid="9" name="MSIP_Label_7869ce3b-ea31-4750-ac1a-51486fca9dd5_ContentBits">
    <vt:lpwstr>0</vt:lpwstr>
  </property>
</Properties>
</file>